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 public math table.</ns0:t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  <ns0:tblBorders>
          <ns0:top ns0:val="single" ns0:sz="24" ns0:color="000000"/>
          <ns0:bottom ns0:val="single" ns0:sz="24" ns0:color="000000"/>
          <ns0:left ns0:val="single" ns0:sz="24" ns0:color="000000"/>
          <ns0:right ns0:val="single" ns0:sz="24" ns0:color="000000"/>
          <ns0:insideH ns0:val="single" ns0:sz="24" ns0:color="000000"/>
          <ns0:insideV ns0:val="single" ns0:sz="24" ns0:color="000000"/>
        </ns0:tblBorders>
      </ns0:tblPr>
      <ns0:tblGrid>
        <ns0:gridCol ns0:w="6000"/>
      </ns0:tblGrid>
      <ns0:tr>
        <ns0:tc>
          <ns0:tcPr>
            <ns0:tcW ns0:w="6000" ns0:type="dxa"/>
            <ns0:vAlign ns0:val="top"/>
          </ns0:tcPr>
          <ns0:p>
            <ns0:r>
              <ns0:t xml:space="preserve">Before inline </ns0:t>
            </ns0:r>
            <ns1:oMath>
              <ns1:f>
                <ns1:num>
                  <ns1:r>
                    <ns0:rPr>
                      <ns0:rFonts ns0:ascii="Cambria Math" ns0:hAnsi="Cambria Math"/>
                    </ns0:rPr>
                    <ns1:t xml:space="preserve">x</ns1:t>
                  </ns1:r>
                  <ns1:r>
                    <ns0:rPr>
                      <ns0:rFonts ns0:ascii="Cambria Math" ns0:hAnsi="Cambria Math"/>
                    </ns0:rPr>
                    <ns1:t xml:space="preserve">+</ns1:t>
                  </ns1:r>
                  <ns1:r>
                    <ns0:rPr>
                      <ns0:rFonts ns0:ascii="Cambria Math" ns0:hAnsi="Cambria Math"/>
                    </ns0:rPr>
                    <ns1:t xml:space="preserve">2</ns1:t>
                  </ns1:r>
                </ns1:num>
                <ns1:den>
                  <ns1:r>
                    <ns0:rPr>
                      <ns0:rFonts ns0:ascii="Cambria Math" ns0:hAnsi="Cambria Math"/>
                    </ns0:rPr>
                    <ns1:t xml:space="preserve">y</ns1:t>
                  </ns1:r>
                </ns1:den>
              </ns1:f>
            </ns1:oMath>
            <ns0:r>
              <ns0:t xml:space="preserve"> after equation.</ns0:t>
            </ns0:r>
          </ns0:p>
        </ns0:tc>
      </ns0:tr>
      <ns0:tr>
        <ns0:tc>
          <ns0:tcPr>
            <ns0:tcW ns0:w="6000" ns0:type="dxa"/>
            <ns0:vAlign ns0:val="top"/>
          </ns0:tcPr>
          <ns0:p/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