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tbl>
      <ns0:tblGrid>
        <ns0:gridCol ns0:w="9000"/>
      </ns0:tblGrid>
      <ns0:tr>
        <ns0:tc>
          <ns0:tcPr>
            <ns0:tcW ns0:w="9000" ns0:type="dxa"/>
          </ns0:tcPr>
          <ns0:p>
            <ns0:pPr>
              <ns0:numPr>
                <ns0:ilvl ns0:val="0"/>
                <ns0:numId ns0:val="1"/>
              </ns0:numPr>
            </ns0:pPr>
            <ns0:del ns0:id="71" ns0:author="Public Reviewer" ns0:date="2026-10-16T00:00:00Z">
              <ns0:r>
                <ns0:delText xml:space="preserve">Summary: </ns0:delText>
              </ns0:r>
            </ns0:del>
            <ns0:bookmarkStart ns0:id="1" ns0:name="Calculation"/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bookmarkEnd ns0:id="1"/>
            <ns0:r>
              <ns0:t xml:space="preserve"> governs the planning ratio. See </ns0:t>
            </ns0:r>
            <ns0:hyperlink ns2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and </ns0:t>
            </ns0:r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>
              <ns0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ns0:drawing>
            </ns0:r>
            <ns0:r>
              <ns0:t xml:space="preserve"> accompanies the calculation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