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tbl>
      <ns0:tblGrid>
        <ns0:gridCol ns0:w="9000"/>
      </ns0:tblGrid>
      <ns0:tr>
        <ns0:tc>
          <ns0:tcPr>
            <ns0:tcW ns0:w="9000" ns0:type="dxa"/>
          </ns0:tcPr>
          <ns0:p>
            <ns0:pPr>
              <ns0:numPr>
                <ns0:ilvl ns0:val="0"/>
                <ns0:numId ns0:val="1"/>
              </ns0:numPr>
            </ns0:pPr>
            <ns0:ins ns0:id="71" ns0:author="Public Reviewer" ns0:date="2026-10-16T00:00:00Z">
              <ns0:r>
                <ns0:t xml:space="preserve">Summary: </ns0:t>
              </ns0:r>
            </ns0:ins>
            <ns0:bookmarkStart ns0:id="1" ns0:name="Calculation"/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bookmarkEnd ns0:id="1"/>
            <ns0:r>
              <ns0:t xml:space="preserve"> governs the planning ratio. See </ns0:t>
            </ns0:r>
            <ns0:hyperlink ns2:id="link">
              <ns0:r>
                <ns0:t xml:space="preserve">public method notes</ns0:t>
              </ns0:r>
            </ns0:hyperlink>
            <ns0:r>
              <ns0:t xml:space="preserve">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two relationships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and </ns0:t>
            </ns0:r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r>
              <ns0:t xml:space="preserve"> share the same input series.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trend marker </ns0:t>
            </ns0:r>
            <ns0:r>
              <ns0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ns0:drawing>
            </ns0:r>
            <ns0:r>
              <ns0:t xml:space="preserve"> accompanies the calculation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without replacing it.</ns0:t>
            </ns0:r>
          </ns0:p>
        </ns0:tc>
      </ns0:tr>
    </ns0:tbl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