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tbl>
      <w:tblPr>
        <w:tblW w:w="60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3000"/>
        <w:gridCol w:w="3000"/>
      </w:tblGrid>
      <w:tr>
        <w:tc>
          <w:tcPr>
            <w:tcW w:w="3000" w:type="dxa"/>
          </w:tcPr>
          <w:p>
            <w:pPr>
              <w:rPr>
                <w:sz w:val="22"/>
              </w:rPr>
              <w:spacing w:after="0"/>
            </w:pPr>
            <w:r>
              <w:rPr>
                <w:sz w:val="22"/>
              </w:rPr>
              <w:t>Public tall cell 1.</w:t>
            </w:r>
          </w:p>
          <w:p>
            <w:pPr>
              <w:rPr>
                <w:sz w:val="22"/>
              </w:rPr>
              <w:spacing w:after="0"/>
            </w:pPr>
            <w:r>
              <w:rPr>
                <w:sz w:val="22"/>
              </w:rPr>
              <w:t>Public tall cell 2.</w:t>
            </w:r>
          </w:p>
          <w:p>
            <w:pPr>
              <w:rPr>
                <w:sz w:val="22"/>
              </w:rPr>
              <w:spacing w:after="0"/>
            </w:pPr>
            <w:r>
              <w:rPr>
                <w:sz w:val="22"/>
              </w:rPr>
              <w:t>Public tall cell 3.</w:t>
            </w:r>
          </w:p>
          <w:p>
            <w:pPr>
              <w:rPr>
                <w:sz w:val="22"/>
              </w:rPr>
              <w:spacing w:after="0"/>
            </w:pPr>
            <w:r>
              <w:rPr>
                <w:sz w:val="22"/>
              </w:rPr>
              <w:t>Public tall cell 4.</w:t>
            </w:r>
          </w:p>
          <w:p>
            <w:pPr>
              <w:rPr>
                <w:sz w:val="22"/>
              </w:rPr>
              <w:spacing w:after="0"/>
            </w:pPr>
            <w:r>
              <w:rPr>
                <w:sz w:val="22"/>
              </w:rPr>
              <w:t>Public tall cell 5.</w:t>
            </w:r>
          </w:p>
          <w:p>
            <w:pPr>
              <w:rPr>
                <w:sz w:val="22"/>
              </w:rPr>
              <w:spacing w:after="0"/>
            </w:pPr>
            <w:r>
              <w:rPr>
                <w:sz w:val="22"/>
              </w:rPr>
              <w:t>Public tall cell 6.</w:t>
            </w:r>
          </w:p>
          <w:p>
            <w:pPr>
              <w:rPr>
                <w:sz w:val="22"/>
              </w:rPr>
              <w:spacing w:after="0"/>
            </w:pPr>
            <w:r>
              <w:rPr>
                <w:sz w:val="22"/>
              </w:rPr>
              <w:t>Public tall cell 7.</w:t>
            </w:r>
          </w:p>
        </w:tc>
        <w:tc>
          <w:tcPr>
            <w:tcW w:w="3000" w:type="dxa"/>
            <w:vAlign w:val="bottom"/>
          </w:tcPr>
          <w:p>
            <ns0:oMathPara xmlns:ns0="http://schemas.openxmlformats.org/officeDocument/2006/math">
              <ns0:oMath>
                <ns0:f>
                  <ns0:num>
                    <ns0:r>
                      <w:rPr>
                        <w:rFonts w:ascii="Cambria Math" w:hAnsi="Cambria Math"/>
                      </w:rPr>
                      <ns0:t xml:space="preserve">x</ns0:t>
                    </ns0:r>
                    <ns0:r>
                      <w:rPr>
                        <w:rFonts w:ascii="Cambria Math" w:hAnsi="Cambria Math"/>
                      </w:rPr>
                      <ns0:t xml:space="preserve">+</ns0:t>
                    </ns0:r>
                    <ns0:r>
                      <w:rPr>
                        <w:rFonts w:ascii="Cambria Math" w:hAnsi="Cambria Math"/>
                      </w:rPr>
                      <ns0:t xml:space="preserve">2</ns0:t>
                    </ns0:r>
                  </ns0:num>
                  <ns0:den>
                    <ns0:r>
                      <w:rPr>
                        <w:rFonts w:ascii="Cambria Math" w:hAnsi="Cambria Math"/>
                      </w:rPr>
                      <ns0:t xml:space="preserve">y</ns0:t>
                    </ns0:r>
                  </ns0:den>
                </ns0:f>
              </ns0:oMath>
            </ns0:oMathPara>
          </w:p>
        </w:tc>
      </w:tr>
    </w:tbl>
    <w:p>
      <w:r>
        <w:t>After public math table.</w:t>
      </w:r>
    </w:p>
    <w:sectPr>
      <w:pgSz w:w="11906" w:h="7200" w:orient="portrait"/>
      <w:pgMar w:top="720" w:right="1440" w:bottom="72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