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Quarterly operations report</w:t>
      </w:r>
    </w:p>
    <w:p>
      <w:r>
        <w:t xml:space="preserve">Inventory availability</w:t>
      </w:r>
    </w:p>
    <w:p>
      <w:r>
        <w:t xml:space="preserve">Summary: </w:t>
      </w:r>
      <w:bookmarkStart w:id="1" w:name="Calculation"/>
      <m:oMath>
        <m:f>
          <m:num>
            <m:r>
              <m:t>x+2</m:t>
            </m:r>
          </m:num>
          <m:den>
            <m:r>
              <m:t>y</m:t>
            </m:r>
          </m:den>
        </m:f>
      </m:oMath>
      <w:bookmarkEnd w:id="1"/>
      <w:r>
        <w:t xml:space="preserve"> governs the planning ratio. See </w:t>
      </w:r>
      <w:hyperlink r:id="link">
        <w:r>
          <w:t xml:space="preserve">public method notes</w:t>
        </w:r>
      </w:hyperlink>
      <w:r>
        <w:t xml:space="preserve">.</w:t>
      </w:r>
    </w:p>
    <w:p>
      <w:r>
        <w:t xml:space="preserve">The two relationships </w:t>
      </w:r>
      <m:oMath>
        <m:r>
          <m:t>a+b=c</m:t>
        </m:r>
      </m:oMath>
      <w:r>
        <w:t xml:space="preserve"> and </w:t>
      </w:r>
      <m:oMath>
        <m:f>
          <m:num>
            <m:r>
              <m:t>x+2</m:t>
            </m:r>
          </m:num>
          <m:den>
            <m:r>
              <m:t>y</m:t>
            </m:r>
          </m:den>
        </m:f>
      </m:oMath>
      <w:r>
        <w:t xml:space="preserve"> share the same input series.</w:t>
      </w:r>
    </w:p>
    <w:p>
      <w:r>
        <w:t xml:space="preserve">The trend marker </w:t>
      </w:r>
      <w:r>
        <w:drawing>
          <wp:inline xmlns:wp="http://schemas.openxmlformats.org/drawingml/2006/wordprocessingDrawing" xmlns:a="http://schemas.openxmlformats.org/drawingml/2006/main" xmlns:pic="http://schemas.openxmlformats.org/drawingml/2006/picture">
            <wp:extent cx="457200" cy="228600"/>
            <wp:docPr id="1" name="Public trend illustration"/>
            <a:graphic>
              <a:graphicData uri="http://schemas.openxmlformats.org/drawingml/2006/picture">
                <pic:pic>
                  <pic:nvPicPr>
                    <pic:cNvPr id="1" name="Public trend illustration"/>
                    <pic:cNvPicPr/>
                  </pic:nvPicPr>
                  <pic:blipFill>
                    <a:blip r:embed="image"/>
                    <a:stretch>
                      <a:fillRect/>
                    </a:stretch>
                  </pic:blipFill>
                  <pic:spPr>
                    <a:xfrm>
                      <a:off x="0" y="0"/>
                      <a:ext cx="457200" cy="228600"/>
                    </a:xfrm>
                    <a:prstGeom prst="rect">
                      <a:avLst/>
                    </a:prstGeom>
                  </pic:spPr>
                </pic:pic>
              </a:graphicData>
            </a:graphic>
          </wp:inline>
        </w:drawing>
      </w:r>
      <w:r>
        <w:t xml:space="preserve"> accompanies the calculation </w:t>
      </w:r>
      <m:oMath>
        <m:r>
          <m:t>a+b=c</m:t>
        </m:r>
      </m:oMath>
      <w:r>
        <w:t xml:space="preserve"> without replacing it.</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f>
                <m:num>
                  <m:r>
                    <m:t>x+2</m:t>
                  </m:r>
                </m:num>
                <m:den>
                  <m:r>
                    <m:t>y</m:t>
                  </m:r>
                </m:den>
              </m:f>
            </m:oMath>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r:id="header"/>
      <w:footerReference w:type="default" r: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ns0:footnotes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footnote ns0:type="separator" ns0:id="-1">
    <ns0:p>
      <ns0:r>
        <ns0:separator/>
      </ns0:r>
    </ns0:p>
  </ns0:footnote>
  <ns0:footnote ns0:id="1">
    <ns0:p>
      <ns0:r>
        <ns0:t xml:space="preserve">All quantities in this synthetic example are illustrative.</ns0:t>
      </ns0:r>
    </ns0:p>
    <ns0:p>
      <ns0:pPr>
        <ns0:jc ns0:val="both"/>
      </ns0:pPr>
      <ns0:hyperlink ns0:anchor="Calculation" ns0:history="1">
        <ns0:r>
          <ns0:t xml:space="preserve">The linked calculation </ns0:t>
        </ns0:r>
        <ns0:r>
          <ns0:drawing>
            <ns1:inline>
              <ns1:extent cx="457200" cy="228600"/>
              <ns1:docPr id="1" name="Public trend illustration"/>
              <ns2:graphic>
                <ns2:graphicData uri="http://schemas.openxmlformats.org/drawingml/2006/picture">
                  <ns3:pic>
                    <ns3:nvPicPr>
                      <ns3:cNvPr id="1" name="Public trend illustration"/>
                      <ns3:cNvPicPr/>
                    </ns3:nvPicPr>
                    <ns3:blipFill>
                      <ns2:blip ns4:embed="rIdRowImage"/>
                      <ns2:stretch>
                        <ns2:fillRect/>
                      </ns2:stretch>
                    </ns3:blipFill>
                    <ns3:spPr>
                      <ns2:xfrm>
                        <ns2:off x="0" y="0"/>
                        <ns2:ext cx="457200" cy="228600"/>
                      </ns2:xfrm>
                      <ns2:prstGeom prst="rect">
                        <ns2:avLst/>
                      </ns2:prstGeom>
                    </ns3:spPr>
                  </ns3:pic>
                </ns2:graphicData>
              </ns2:graphic>
            </ns1:inline>
          </ns0:drawing>
        </ns0:r>
        <ns5:oMathPara>
          <ns5:oMath>
            <ns5:f>
              <ns5:num>
                <ns5:r>
                  <ns5:rPr>
                    <ns5:nor/>
                  </ns5:rPr>
                  <ns0:rPr>
                    <ns0:rFonts ns0:ascii="Arial" ns0:hAnsi="Arial"/>
                  </ns0:rPr>
                  <ns5:t xml:space="preserve">rate</ns5:t>
                </ns5:r>
              </ns5:num>
              <ns5:den>
                <ns5:r>
                  <ns5:rPr>
                    <ns5:nor/>
                  </ns5:rPr>
                  <ns0:rPr>
                    <ns0:rFonts ns0:ascii="Arial" ns0:hAnsi="Arial"/>
                  </ns0:rPr>
                  <ns5:t xml:space="preserve">time</ns5:t>
                </ns5:r>
              </ns5:den>
            </ns5:f>
            <ns5:f>
              <ns5:num>
                <ns5:r>
                  <ns5:rPr>
                    <ns5:nor/>
                  </ns5:rPr>
                  <ns0:rPr>
                    <ns0:rFonts ns0:ascii="Arial" ns0:hAnsi="Arial"/>
                  </ns0:rPr>
                  <ns5:t xml:space="preserve">rate</ns5:t>
                </ns5:r>
              </ns5:num>
              <ns5:den>
                <ns5:r>
                  <ns5:rPr>
                    <ns5:nor/>
                  </ns5:rPr>
                  <ns0:rPr>
                    <ns0:rFonts ns0:ascii="Arial" ns0:hAnsi="Arial"/>
                  </ns0:rPr>
                  <ns5:t xml:space="preserve">time</ns5:t>
                </ns5:r>
              </ns5:den>
            </ns5:f>
          </ns5:oMath>
        </ns5:oMathPara>
        <ns0:r>
          <ns0:t xml:space="preserve"> remains visible when ordinary public prose wraps around the supported illustration and formulas.</ns0:t>
        </ns0:r>
      </ns0:hyperlink>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notes.xml.rels><?xml version='1.0' encoding='utf-8'?>
<ns0:Relationships xmlns:ns0="http://schemas.openxmlformats.org/package/2006/relationships"><ns0:Relationship Id="rIdRowImage" Type="http://schemas.openxmlformats.org/officeDocument/2006/relationships/image" Target="media/math-row-trend.png" /></ns0:Relationships>
</file>