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p>
      <ns0:pPr>
        <ns0:numPr>
          <ns0:ilvl ns0:val="0"/>
          <ns0:numId ns0:val="1"/>
        </ns0:numPr>
        <ns0:rPr>
          <ns0:ins ns0:id="310" ns0:author="Public Reviewer" ns0:date="2026-10-17T00:00:00Z"/>
        </ns0:rPr>
      </ns0:pPr>
      <ns0:r>
        <ns0:rPr>
          <ns0:b/>
          <ns0:rFonts ns0:ascii="Arial" ns0:hAnsi="Arial"/>
          <ns0:color ns0:val="1964AE"/>
          <ns0:u ns0:val="double"/>
        </ns0:rPr>
        <ns0:t xml:space="preserve">Summary: </ns0:t>
      </ns0:r>
      <ns0:bookmarkStart ns0:id="1" ns0:name="Calculation"/>
      <ns0:r>
        <ns0:t>formula</ns0:t>
      </ns0:r>
      <ns0:bookmarkEnd ns0:id="1"/>
      <ns0:r>
        <ns0:t xml:space="preserve"> governs the planning ratio. See </ns0:t>
      </ns0:r>
      <ns0:hyperlink ns1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0:r>
        <ns0:t>formula</ns0:t>
      </ns0:r>
      <ns0:r>
        <ns0:t xml:space="preserve"> and </ns0:t>
      </ns0:r>
      <ns0:r>
        <ns0:t>formula</ns0:t>
      </ns0:r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/>
      <ns0:r>
        <ns0:t xml:space="preserve"> accompanies the calculation </ns0:t>
      </ns0:r>
      <ns0:r>
        <ns0:t>formula</ns0:t>
      </ns0:r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