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Composed story.</ns0:t>
      </ns0:r>
    </ns0:p>
    <ns0:tbl>
      <ns0:tblPr>
        <ns0:tblW ns0:w="9360" ns0:type="dxa"/>
        <ns0:tblLayout ns0:type="fixed"/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numPr>
                <ns0:ilvl ns0:val="0"/>
                <ns0:numId ns0:val="1"/>
              </ns0:numPr>
              <ns0:rPr>
                <ns0:ins ns0:id="310" ns0:author="Public Reviewer" ns0:date="2026-10-17T00:00:00Z"/>
              </ns0:rPr>
            </ns0:pPr>
            <ns0:r>
              <ns0:rPr>
                <ns0:b/>
                <ns0:rFonts ns0:ascii="Arial" ns0:hAnsi="Arial"/>
                <ns0:color ns0:val="1964AE"/>
                <ns0:u ns0:val="double"/>
              </ns0:rPr>
              <ns0:t xml:space="preserve">Summary: </ns0:t>
            </ns0:r>
            <ns0:bookmarkStart ns0:id="1" ns0:name="Calculation"/>
            <ns0:r>
              <ns0:t>formula</ns0:t>
            </ns0:r>
            <ns0:bookmarkEnd ns0:id="1"/>
            <ns0:r>
              <ns0:t xml:space="preserve"> governs the planning ratio. See </ns0:t>
            </ns0:r>
            <ns0:hyperlink ns1:id="link">
              <ns0:r>
                <ns0:t xml:space="preserve">public method notes</ns0:t>
              </ns0:r>
            </ns0:hyperlink>
            <ns0:r>
              <ns0:t xml:space="preserve">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two relationships </ns0:t>
            </ns0:r>
            <ns0:r>
              <ns0:t>formula</ns0:t>
            </ns0:r>
            <ns0:r>
              <ns0:t xml:space="preserve"> and </ns0:t>
            </ns0:r>
            <ns0:r>
              <ns0:t>formula</ns0:t>
            </ns0:r>
            <ns0:r>
              <ns0:t xml:space="preserve"> share the same input series.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trend marker </ns0:t>
            </ns0:r>
            <ns0:r/>
            <ns0:r>
              <ns0:t xml:space="preserve"> accompanies the calculation </ns0:t>
            </ns0:r>
            <ns0:r>
              <ns0:t>formula</ns0:t>
            </ns0:r>
            <ns0:r>
              <ns0:t xml:space="preserve"> without replacing it.</ns0:t>
            </ns0:r>
          </ns0:p>
        </ns0:tc>
      </ns0:tr>
    </ns0:tbl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