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http://schemas.openxmlformats.org/officeDocument/2006/math">
  <w:body>
    <w:p>
      <w:pPr>
        <w:pStyle w:val="Title"/>
      </w:pPr>
      <w:r>
        <w:t xml:space="preserve">Quarterly operations report</w:t>
      </w:r>
    </w:p>
    <w:p>
      <w:r>
        <w:t xml:space="preserve">Inventory availability</w:t>
      </w:r>
    </w:p>
    <w:p>
      <w:r>
        <w:t xml:space="preserve">Summary: </w:t>
      </w:r>
      <w:bookmarkStart w:id="1" w:name="Calculation"/>
      <m:oMath>
        <m:f>
          <m:num>
            <m:r>
              <m:t>x+2</m:t>
            </m:r>
          </m:num>
          <m:den>
            <m:r>
              <m:t>y</m:t>
            </m:r>
          </m:den>
        </m:f>
      </m:oMath>
      <w:bookmarkEnd w:id="1"/>
      <w:r>
        <w:t xml:space="preserve"> governs the planning ratio. See </w:t>
      </w:r>
      <w:hyperlink r:id="link">
        <w:r>
          <w:t xml:space="preserve">public method notes</w:t>
        </w:r>
      </w:hyperlink>
      <w:r>
        <w:t xml:space="preserve">.</w:t>
      </w:r>
    </w:p>
    <w:p>
      <w:r>
        <w:t xml:space="preserve">The two relationships </w:t>
      </w:r>
      <m:oMath>
        <m:r>
          <m:t>a+b=c</m:t>
        </m:r>
      </m:oMath>
      <w:r>
        <w:t xml:space="preserve"> and </w:t>
      </w:r>
      <m:oMath>
        <m:f>
          <m:num>
            <m:r>
              <m:t>x+2</m:t>
            </m:r>
          </m:num>
          <m:den>
            <m:r>
              <m:t>y</m:t>
            </m:r>
          </m:den>
        </m:f>
      </m:oMath>
      <w:r>
        <w:t xml:space="preserve"> share the same input series.</w:t>
      </w:r>
    </w:p>
    <w:p>
      <w:r>
        <w:t xml:space="preserve">The trend marker </w:t>
      </w:r>
      <w:r>
        <w:drawing>
          <wp:inline xmlns:wp="http://schemas.openxmlformats.org/drawingml/2006/wordprocessingDrawing" xmlns:a="http://schemas.openxmlformats.org/drawingml/2006/main" xmlns:pic="http://schemas.openxmlformats.org/drawingml/2006/picture">
            <wp:extent cx="457200" cy="228600"/>
            <wp:docPr id="1" name="Public trend illustration"/>
            <a:graphic>
              <a:graphicData uri="http://schemas.openxmlformats.org/drawingml/2006/picture">
                <pic:pic>
                  <pic:nvPicPr>
                    <pic:cNvPr id="1" name="Public trend illustration"/>
                    <pic:cNvPicPr/>
                  </pic:nvPicPr>
                  <pic:blipFill>
                    <a:blip r:embed="image"/>
                    <a:stretch>
                      <a:fillRect/>
                    </a:stretch>
                  </pic:blipFill>
                  <pic:spPr>
                    <a:xfrm>
                      <a:off x="0" y="0"/>
                      <a:ext cx="457200" cy="228600"/>
                    </a:xfrm>
                    <a:prstGeom prst="rect">
                      <a:avLst/>
                    </a:prstGeom>
                  </pic:spPr>
                </pic:pic>
              </a:graphicData>
            </a:graphic>
          </wp:inline>
        </w:drawing>
      </w:r>
      <w:r>
        <w:t xml:space="preserve"> accompanies the calculation </w:t>
      </w:r>
      <m:oMath>
        <m:r>
          <m:t>a+b=c</m:t>
        </m:r>
      </m:oMath>
      <w:r>
        <w:t xml:space="preserve"> without replacing it.</w:t>
      </w:r>
    </w:p>
    <w:tbl>
      <w:tblPr>
        <w:tblW w:w="9000" w:type="dxa"/>
        <w:tblBorders>
          <w:top w:val="single" w:sz="4"/>
          <w:bottom w:val="single" w:sz="4"/>
          <w:insideH w:val="single" w:sz="4"/>
        </w:tblBorders>
      </w:tblPr>
      <w:tblGrid>
        <w:gridCol w:w="4500"/>
        <w:gridCol w:w="4500"/>
      </w:tblGrid>
      <w:tr>
        <w:tc>
          <w:tcPr>
            <w:tcW w:w="4500" w:type="dxa"/>
          </w:tcPr>
          <w:p>
            <w:r>
              <w:t xml:space="preserve">Planning input</w:t>
            </w:r>
          </w:p>
        </w:tc>
        <w:tc>
          <w:tcPr>
            <w:tcW w:w="4500" w:type="dxa"/>
          </w:tcPr>
          <w:p>
            <w:r>
              <w:t xml:space="preserve">Accepted relationship</w:t>
            </w:r>
          </w:p>
        </w:tc>
      </w:tr>
      <w:tr>
        <w:tc>
          <w:p>
            <w:r>
              <w:t xml:space="preserve">Observed series</w:t>
            </w:r>
          </w:p>
        </w:tc>
        <w:tc>
          <w:p>
            <m:oMath>
              <m:f>
                <m:num>
                  <m:r>
                    <m:t>x+2</m:t>
                  </m:r>
                </m:num>
                <m:den>
                  <m:r>
                    <m:t>y</m:t>
                  </m:r>
                </m:den>
              </m:f>
            </m:oMath>
          </w:p>
        </w:tc>
      </w:tr>
    </w:tbl>
    <w:p>
      <w:pPr>
        <w:numPr>
          <w:ilvl w:val="0"/>
          <w:numId w:val="1"/>
        </w:numPr>
      </w:pPr>
      <w:r>
        <w:t xml:space="preserve">Acceptance item 1: retain the visible calculation, the source illustration and the supporting explanation.</w:t>
      </w:r>
    </w:p>
    <w:p>
      <w:pPr>
        <w:numPr>
          <w:ilvl w:val="0"/>
          <w:numId w:val="1"/>
        </w:numPr>
      </w:pPr>
      <w:r>
        <w:t xml:space="preserve">Acceptance item 2: retain the visible calculation, the source illustration and the supporting explanation.</w:t>
      </w:r>
    </w:p>
    <w:p>
      <w:pPr>
        <w:numPr>
          <w:ilvl w:val="0"/>
          <w:numId w:val="1"/>
        </w:numPr>
      </w:pPr>
      <w:r>
        <w:t xml:space="preserve">Acceptance item 3: retain the visible calculation, the source illustration and the supporting explanation.</w:t>
      </w:r>
    </w:p>
    <w:p>
      <w:r>
        <w:t xml:space="preserve">Review section 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2. The planning team compares the observed stock position with the agreed service objective. Tables, calculations and illustrations support this decision. The same content must remain readable when it moves to another page or container.</w:t>
      </w:r>
    </w:p>
    <w:p>
      <w:r>
        <w:t xml:space="preserve">Review section 3. The planning team compares the observed stock position with the agreed service objective. Tables, calculations and illustrations support this decision. The same content must remain readable when it moves to another page or container.</w:t>
      </w:r>
    </w:p>
    <w:p>
      <w:r>
        <w:t xml:space="preserve">Review section 4. The planning team compares the observed stock position with the agreed service objective. Tables, calculations and illustrations support this decision. The same content must remain readable when it moves to another page or container.</w:t>
      </w:r>
    </w:p>
    <w:p>
      <w:r>
        <w:t xml:space="preserve">Review section 5. The planning team compares the observed stock position with the agreed service objective. Tables, calculations and illustrations support this decision. The same content must remain readable when it moves to another page or container.</w:t>
      </w:r>
    </w:p>
    <w:p>
      <w:r>
        <w:t xml:space="preserve">Review section 6. The planning team compares the observed stock position with the agreed service objective. Tables, calculations and illustrations support this decision. The same content must remain readable when it moves to another page or container.</w:t>
      </w:r>
    </w:p>
    <w:p>
      <w:r>
        <w:t xml:space="preserve">Review section 7. The planning team compares the observed stock position with the agreed service objective. Tables, calculations and illustrations support this decision. The same content must remain readable when it moves to another page or container.</w:t>
      </w:r>
    </w:p>
    <w:p>
      <w:r>
        <w:t xml:space="preserve">Review section 8. The planning team compares the observed stock position with the agreed service objective. Tables, calculations and illustrations support this decision. The same content must remain readable when it moves to another page or container.</w:t>
      </w:r>
    </w:p>
    <w:p>
      <w:r>
        <w:t xml:space="preserve">Review section 9.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10.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12. The planning team compares the observed stock position with the agreed service objective. Tables, calculations and illustrations support this decision. The same content must remain readable when it moves to another page or container.</w:t>
      </w:r>
    </w:p>
    <w:p>
      <w:commentRangeStart w:id="0"/>
      <w:r>
        <w:t xml:space="preserve">Review conclusion: the selected assumptions require a documented check.</w:t>
      </w:r>
      <w:commentRangeEnd w:id="0"/>
      <w:r>
        <w:commentReference w:id="0"/>
      </w:r>
      <w:r>
        <w:t xml:space="preserve"> Supporting note</w:t>
      </w:r>
      <w:r>
        <w:footnoteReference w:id="1"/>
      </w:r>
    </w:p>
    <w:sectPr>
      <w:headerReference w:type="default" r:id="header"/>
      <w:footerReference w:type="default" r:id="footer"/>
      <w:pgSz w:w="12240" w:h="15840"/>
      <w:pgMar w:top="1440" w:right="1440" w:bottom="1440" w:left="1440" w:header="720" w:footer="720"/>
    </w:sectPr>
  </w:body>
</w: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ns0:ftr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ns0:p>
    <ns0:r>
      <ns0:t xml:space="preserve">Public synthetic composition portfolio</ns0:t>
    </ns0:r>
  </ns0:p>
  <ns0:p>
    <ns0:pPr>
      <ns0:jc ns0:val="both"/>
    </ns0:pPr>
    <ns0:hyperlink ns0:anchor="Calculation" ns0:history="1">
      <ns0:r>
        <ns0:t xml:space="preserve">The linked calculation </ns0:t>
      </ns0:r>
      <ns0:r>
        <ns0:drawing>
          <ns1:inline>
            <ns1:extent cx="457200" cy="228600"/>
            <ns1:docPr id="1" name="Public trend illustration"/>
            <ns2:graphic>
              <ns2:graphicData uri="http://schemas.openxmlformats.org/drawingml/2006/picture">
                <ns3:pic>
                  <ns3:nvPicPr>
                    <ns3:cNvPr id="1" name="Public trend illustration"/>
                    <ns3:cNvPicPr/>
                  </ns3:nvPicPr>
                  <ns3:blipFill>
                    <ns2:blip ns4:embed="rIdRowImage"/>
                    <ns2:stretch>
                      <ns2:fillRect/>
                    </ns2:stretch>
                  </ns3:blipFill>
                  <ns3:spPr>
                    <ns2:xfrm>
                      <ns2:off x="0" y="0"/>
                      <ns2:ext cx="457200" cy="228600"/>
                    </ns2:xfrm>
                    <ns2:prstGeom prst="rect">
                      <ns2:avLst/>
                    </ns2:prstGeom>
                  </ns3:spPr>
                </ns3:pic>
              </ns2:graphicData>
            </ns2:graphic>
          </ns1:inline>
        </ns0:drawing>
      </ns0:r>
      <ns5:oMathPara>
        <ns5:oMath>
          <ns5:f>
            <ns5:num>
              <ns5:r>
                <ns5:rPr>
                  <ns5:nor/>
                </ns5:rPr>
                <ns0:rPr>
                  <ns0:rFonts ns0:ascii="Arial" ns0:hAnsi="Arial"/>
                </ns0:rPr>
                <ns5:t xml:space="preserve">rate</ns5:t>
              </ns5:r>
            </ns5:num>
            <ns5:den>
              <ns5:r>
                <ns5:rPr>
                  <ns5:nor/>
                </ns5:rPr>
                <ns0:rPr>
                  <ns0:rFonts ns0:ascii="Arial" ns0:hAnsi="Arial"/>
                </ns0:rPr>
                <ns5:t xml:space="preserve">time</ns5:t>
              </ns5:r>
            </ns5:den>
          </ns5:f>
          <ns5:f>
            <ns5:num>
              <ns5:r>
                <ns5:rPr>
                  <ns5:nor/>
                </ns5:rPr>
                <ns0:rPr>
                  <ns0:rFonts ns0:ascii="Arial" ns0:hAnsi="Arial"/>
                </ns0:rPr>
                <ns5:t xml:space="preserve">rate</ns5:t>
              </ns5:r>
            </ns5:num>
            <ns5:den>
              <ns5:r>
                <ns5:rPr>
                  <ns5:nor/>
                </ns5:rPr>
                <ns0:rPr>
                  <ns0:rFonts ns0:ascii="Arial" ns0:hAnsi="Arial"/>
                </ns0:rPr>
                <ns5:t xml:space="preserve">time</ns5:t>
              </ns5:r>
            </ns5:den>
          </ns5:f>
        </ns5:oMath>
      </ns5:oMathPara>
      <ns0:r>
        <ns0:t xml:space="preserve"> remains visible when ordinary public prose wraps around the supported illustration and formulas.</ns0:t>
      </ns0:r>
    </ns0:hyperlink>
  </ns0:p>
</ns0:ftr>
</file>

<file path=word/footnotes.xml><?xml version="1.0" encoding="utf-8"?>
<ns0:footnotes xmlns:ns0="http://schemas.openxmlformats.org/wordprocessingml/2006/main">
  <ns0:footnote ns0:type="separator" ns0:id="-1">
    <ns0:p>
      <ns0:r>
        <ns0:separator/>
      </ns0:r>
    </ns0:p>
  </ns0:footnote>
  <ns0:footnote ns0:id="1">
    <ns0:p>
      <ns0:r>
        <ns0:t xml:space="preserve">All quantities in this synthetic example are illustrative.</ns0:t>
      </ns0:r>
    </ns0:p>
    <ns0:p>
      <ns0:r>
        <ns0:t xml:space="preserve">Public continuation note line 01: the footer must keep every source paragraph clear.</ns0:t>
      </ns0:r>
    </ns0:p>
    <ns0:p>
      <ns0:r>
        <ns0:t xml:space="preserve">Public continuation note line 02: the footer must keep every source paragraph clear.</ns0:t>
      </ns0:r>
    </ns0:p>
    <ns0:p>
      <ns0:r>
        <ns0:t xml:space="preserve">Public continuation note line 03: the footer must keep every source paragraph clear.</ns0:t>
      </ns0:r>
    </ns0:p>
    <ns0:p>
      <ns0:r>
        <ns0:t xml:space="preserve">Public continuation note line 04: the footer must keep every source paragraph clear.</ns0:t>
      </ns0:r>
    </ns0:p>
    <ns0:p>
      <ns0:r>
        <ns0:t xml:space="preserve">Public continuation note line 05: the footer must keep every source paragraph clear.</ns0:t>
      </ns0:r>
    </ns0:p>
    <ns0:p>
      <ns0:r>
        <ns0:t xml:space="preserve">Public continuation note line 06: the footer must keep every source paragraph clear.</ns0:t>
      </ns0:r>
    </ns0:p>
    <ns0:p>
      <ns0:r>
        <ns0:t xml:space="preserve">Public continuation note line 07: the footer must keep every source paragraph clear.</ns0:t>
      </ns0:r>
    </ns0:p>
    <ns0:p>
      <ns0:r>
        <ns0:t xml:space="preserve">Public continuation note line 08: the footer must keep every source paragraph clear.</ns0:t>
      </ns0:r>
    </ns0:p>
    <ns0:p>
      <ns0:r>
        <ns0:t xml:space="preserve">Public continuation note line 09: the footer must keep every source paragraph clear.</ns0:t>
      </ns0:r>
    </ns0:p>
    <ns0:p>
      <ns0:r>
        <ns0:t xml:space="preserve">Public continuation note line 10: the footer must keep every source paragraph clear.</ns0:t>
      </ns0:r>
    </ns0:p>
    <ns0:p>
      <ns0:r>
        <ns0:t xml:space="preserve">Public continuation note line 11: the footer must keep every source paragraph clear.</ns0:t>
      </ns0:r>
    </ns0:p>
    <ns0:p>
      <ns0:r>
        <ns0:t xml:space="preserve">Public continuation note line 12: the footer must keep every source paragraph clear.</ns0:t>
      </ns0:r>
    </ns0:p>
    <ns0:p>
      <ns0:r>
        <ns0:t xml:space="preserve">Public continuation note line 13: the footer must keep every source paragraph clear.</ns0:t>
      </ns0:r>
    </ns0:p>
    <ns0:p>
      <ns0:r>
        <ns0:t xml:space="preserve">Public continuation note line 14: the footer must keep every source paragraph clear.</ns0:t>
      </ns0:r>
    </ns0:p>
    <ns0:p>
      <ns0:r>
        <ns0:t xml:space="preserve">Public continuation note line 15: the footer must keep every source paragraph clear.</ns0:t>
      </ns0:r>
    </ns0:p>
    <ns0:p>
      <ns0:r>
        <ns0:t xml:space="preserve">Public continuation note line 16: the footer must keep every source paragraph clear.</ns0:t>
      </ns0:r>
    </ns0:p>
    <ns0:p>
      <ns0:r>
        <ns0:t xml:space="preserve">Public continuation note line 17: the footer must keep every source paragraph clear.</ns0:t>
      </ns0:r>
    </ns0:p>
    <ns0:p>
      <ns0:r>
        <ns0:t xml:space="preserve">Public continuation note line 18: the footer must keep every source paragraph clear.</ns0:t>
      </ns0:r>
    </ns0:p>
    <ns0:p>
      <ns0:r>
        <ns0:t xml:space="preserve">Public continuation note line 19: the footer must keep every source paragraph clear.</ns0:t>
      </ns0:r>
    </ns0:p>
    <ns0:p>
      <ns0:r>
        <ns0:t xml:space="preserve">Public continuation note line 20: the footer must keep every source paragraph clear.</ns0:t>
      </ns0:r>
    </ns0:p>
    <ns0:p>
      <ns0:r>
        <ns0:t xml:space="preserve">Public continuation note line 21: the footer must keep every source paragraph clear.</ns0:t>
      </ns0:r>
    </ns0:p>
    <ns0:p>
      <ns0:r>
        <ns0:t xml:space="preserve">Public continuation note line 22: the footer must keep every source paragraph clear.</ns0:t>
      </ns0:r>
    </ns0:p>
    <ns0:p>
      <ns0:r>
        <ns0:t xml:space="preserve">Public continuation note line 23: the footer must keep every source paragraph clear.</ns0:t>
      </ns0:r>
    </ns0:p>
    <ns0:p>
      <ns0:r>
        <ns0:t xml:space="preserve">Public continuation note line 24: the footer must keep every source paragraph clear.</ns0:t>
      </ns0:r>
    </ns0:p>
    <ns0:p>
      <ns0:r>
        <ns0:t xml:space="preserve">Public continuation note line 25: the footer must keep every source paragraph clear.</ns0:t>
      </ns0:r>
    </ns0:p>
    <ns0:p>
      <ns0:r>
        <ns0:t xml:space="preserve">Public continuation note line 26: the footer must keep every source paragraph clear.</ns0:t>
      </ns0:r>
    </ns0:p>
    <ns0:p>
      <ns0:r>
        <ns0:t xml:space="preserve">Public continuation note line 27: the footer must keep every source paragraph clear.</ns0:t>
      </ns0:r>
    </ns0:p>
    <ns0:p>
      <ns0:r>
        <ns0:t xml:space="preserve">Public continuation note line 28: the footer must keep every source paragraph clear.</ns0:t>
      </ns0:r>
    </ns0:p>
    <ns0:p>
      <ns0:r>
        <ns0:t xml:space="preserve">Public continuation note line 29: the footer must keep every source paragraph clear.</ns0:t>
      </ns0:r>
    </ns0:p>
    <ns0:p>
      <ns0:r>
        <ns0:t xml:space="preserve">Public continuation note line 30: the footer must keep every source paragraph clear.</ns0:t>
      </ns0:r>
    </ns0:p>
    <ns0:p>
      <ns0:r>
        <ns0:t xml:space="preserve">Public continuation note line 31: the footer must keep every source paragraph clear.</ns0:t>
      </ns0:r>
    </ns0:p>
    <ns0:p>
      <ns0:r>
        <ns0:t xml:space="preserve">Public continuation note line 32: the footer must keep every source paragraph clear.</ns0:t>
      </ns0:r>
    </ns0:p>
    <ns0:p>
      <ns0:r>
        <ns0:t xml:space="preserve">Public continuation note line 33: the footer must keep every source paragraph clear.</ns0:t>
      </ns0:r>
    </ns0:p>
    <ns0:p>
      <ns0:r>
        <ns0:t xml:space="preserve">Public continuation note line 34: the footer must keep every source paragraph clear.</ns0:t>
      </ns0:r>
    </ns0:p>
    <ns0:p>
      <ns0:r>
        <ns0:t xml:space="preserve">Public continuation note line 35: the footer must keep every source paragraph clear.</ns0:t>
      </ns0:r>
    </ns0:p>
    <ns0:p>
      <ns0:r>
        <ns0:t xml:space="preserve">Public continuation note line 36: the footer must keep every source paragraph clear.</ns0:t>
      </ns0:r>
    </ns0:p>
    <ns0:p>
      <ns0:r>
        <ns0:t xml:space="preserve">Public continuation note line 37: the footer must keep every source paragraph clear.</ns0:t>
      </ns0:r>
    </ns0:p>
    <ns0:p>
      <ns0:r>
        <ns0:t xml:space="preserve">Public continuation note line 38: the footer must keep every source paragraph clear.</ns0:t>
      </ns0:r>
    </ns0:p>
    <ns0:p>
      <ns0:r>
        <ns0:t xml:space="preserve">Public continuation note line 39: the footer must keep every source paragraph clear.</ns0:t>
      </ns0:r>
    </ns0:p>
    <ns0:p>
      <ns0:r>
        <ns0:t xml:space="preserve">Public continuation note line 40: the footer must keep every source paragraph clear.</ns0:t>
      </ns0:r>
    </ns0:p>
    <ns0:p>
      <ns0:r>
        <ns0:t xml:space="preserve">Public continuation note line 41: the footer must keep every source paragraph clear.</ns0:t>
      </ns0:r>
    </ns0:p>
    <ns0:p>
      <ns0:r>
        <ns0:t xml:space="preserve">Public continuation note line 42: the footer must keep every source paragraph clear.</ns0:t>
      </ns0:r>
    </ns0:p>
    <ns0:p>
      <ns0:r>
        <ns0:t xml:space="preserve">Public continuation note line 43: the footer must keep every source paragraph clear.</ns0:t>
      </ns0:r>
    </ns0:p>
    <ns0:p>
      <ns0:r>
        <ns0:t xml:space="preserve">Public continuation note line 44: the footer must keep every source paragraph clear.</ns0:t>
      </ns0:r>
    </ns0:p>
    <ns0:p>
      <ns0:r>
        <ns0:t xml:space="preserve">Public continuation note line 45: the footer must keep every source paragraph clear.</ns0:t>
      </ns0:r>
    </ns0:p>
    <ns0:p>
      <ns0:r>
        <ns0:t xml:space="preserve">Public continuation note line 46: the footer must keep every source paragraph clear.</ns0:t>
      </ns0:r>
    </ns0:p>
    <ns0:p>
      <ns0:r>
        <ns0:t xml:space="preserve">Public continuation note line 47: the footer must keep every source paragraph clear.</ns0:t>
      </ns0:r>
    </ns0:p>
    <ns0:p>
      <ns0:r>
        <ns0:t xml:space="preserve">Public continuation note line 48: the footer must keep every source paragraph clear.</ns0:t>
      </ns0:r>
    </ns0:p>
    <ns0:p>
      <ns0:r>
        <ns0:t xml:space="preserve">Public continuation note line 49: the footer must keep every source paragraph clear.</ns0:t>
      </ns0:r>
    </ns0:p>
    <ns0:p>
      <ns0:r>
        <ns0:t xml:space="preserve">Public continuation note line 50: the footer must keep every source paragraph clear.</ns0:t>
      </ns0:r>
    </ns0:p>
    <ns0:p>
      <ns0:r>
        <ns0:t xml:space="preserve">Public continuation note line 51: the footer must keep every source paragraph clear.</ns0:t>
      </ns0:r>
    </ns0:p>
    <ns0:p>
      <ns0:r>
        <ns0:t xml:space="preserve">Public continuation note line 52: the footer must keep every source paragraph clear.</ns0:t>
      </ns0:r>
    </ns0:p>
    <ns0:p>
      <ns0:r>
        <ns0:t xml:space="preserve">Public continuation note line 53: the footer must keep every source paragraph clear.</ns0:t>
      </ns0:r>
    </ns0:p>
    <ns0:p>
      <ns0:r>
        <ns0:t xml:space="preserve">Public continuation note line 54: the footer must keep every source paragraph clear.</ns0:t>
      </ns0:r>
    </ns0:p>
    <ns0:p>
      <ns0:r>
        <ns0:t xml:space="preserve">Public continuation note line 55: the footer must keep every source paragraph clear.</ns0:t>
      </ns0:r>
    </ns0:p>
    <ns0:p>
      <ns0:r>
        <ns0:t xml:space="preserve">Public continuation note line 56: the footer must keep every source paragraph clear.</ns0:t>
      </ns0:r>
    </ns0:p>
    <ns0:p>
      <ns0:r>
        <ns0:t xml:space="preserve">Public continuation note line 57: the footer must keep every source paragraph clear.</ns0:t>
      </ns0:r>
    </ns0:p>
    <ns0:p>
      <ns0:r>
        <ns0:t xml:space="preserve">Public continuation note line 58: the footer must keep every source paragraph clear.</ns0:t>
      </ns0:r>
    </ns0:p>
    <ns0:p>
      <ns0:r>
        <ns0:t xml:space="preserve">Public continuation note line 59: the footer must keep every source paragraph clear.</ns0:t>
      </ns0:r>
    </ns0:p>
    <ns0:p>
      <ns0:r>
        <ns0:t xml:space="preserve">Public continuation note line 60: the footer must keep every source paragraph clear.</ns0:t>
      </ns0:r>
    </ns0:p>
    <ns0:p>
      <ns0:r>
        <ns0:t xml:space="preserve">Public continuation note line 61: the footer must keep every source paragraph clear.</ns0:t>
      </ns0:r>
    </ns0:p>
    <ns0:p>
      <ns0:r>
        <ns0:t xml:space="preserve">Public continuation note line 62: the footer must keep every source paragraph clear.</ns0:t>
      </ns0:r>
    </ns0:p>
    <ns0:p>
      <ns0:r>
        <ns0:t xml:space="preserve">Public continuation note line 63: the footer must keep every source paragraph clear.</ns0:t>
      </ns0:r>
    </ns0:p>
    <ns0:p>
      <ns0:r>
        <ns0:t xml:space="preserve">Public continuation note line 64: the footer must keep every source paragraph clear.</ns0:t>
      </ns0:r>
    </ns0:p>
  </ns0:footnote>
</ns0:footnotes>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

<file path=word/_rels/footer1.xml.rels><?xml version='1.0' encoding='utf-8'?>
<ns0:Relationships xmlns:ns0="http://schemas.openxmlformats.org/package/2006/relationships"><ns0:Relationship Id="rIdRowImage" Type="http://schemas.openxmlformats.org/officeDocument/2006/relationships/image" Target="media/math-row-trend.png" /></ns0:Relationships>
</file>