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Summary: </ns0:t>
    </ns0:r>
    <ns0:bookmarkStart ns0:id="1" ns0:name="Calculation"/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bookmarkEnd ns0:id="1"/>
    <ns0:r>
      <ns0:t xml:space="preserve"> governs the planning ratio. See </ns0:t>
    </ns0:r>
    <ns0:hyperlink ns2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1:oMathPara>
      <ns1:oMath>
        <ns1:r>
          <ns1:t>a+b=c</ns1:t>
        </ns1:r>
      </ns1:oMath>
    </ns1:oMathPara>
    <ns0:r>
      <ns0:t xml:space="preserve"> and </ns0:t>
    </ns0:r>
    <ns1:oMathPara>
      <ns1:oMath>
        <ns1:f>
          <ns1:num>
            <ns1:r>
              <ns1:t>x+2</ns1:t>
            </ns1:r>
          </ns1:num>
          <ns1:den>
            <ns1:r>
              <ns1:t>y</ns1:t>
            </ns1:r>
          </ns1:den>
        </ns1:f>
      </ns1:oMath>
    </ns1:oMathPara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>
      <ns0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t xml:space="preserve"> accompanies the calculation </ns0:t>
    </ns0:r>
    <ns1:oMathPara>
      <ns1:oMath>
        <ns1:r>
          <ns1:t>a+b=c</ns1:t>
        </ns1:r>
      </ns1:oMath>
    </ns1:oMathPara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