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p>
      <ns0:pPr>
        <ns0:jc ns0:val="left"/>
      </ns0:pPr>
      <ns0:bookmarkStart ns0:id="108" ns0:name="RowCalculation"/>
      <ns0:bookmarkEnd ns0:id="108"/>
      <ns0:hyperlink ns0:anchor="RowCalculation">
        <ns0:r>
          <ns0:t>Reference row.</ns0:t>
        </ns0:r>
      </ns0:hyperlink>
      <ns0:r>
        <ns0:br/>
      </ns0:r>
      <ns1:oMath>
        <ns1:f>
          <ns1:num>
            <ns1:r>
              <ns0:rPr>
                <ns0:rFonts ns0:ascii="Cambria Math" ns0:hAnsi="Cambria Math"/>
              </ns0:rPr>
              <ns1:t xml:space="preserve">x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2</ns1:t>
            </ns1:r>
          </ns1:num>
          <ns1:den>
            <ns1:r>
              <ns0:rPr>
                <ns0:rFonts ns0:ascii="Cambria Math" ns0:hAnsi="Cambria Math"/>
              </ns0:rPr>
              <ns1:t xml:space="preserve">y</ns1:t>
            </ns1:r>
          </ns1:den>
        </ns1:f>
      </ns1:oMath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