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3.6 Embedding Model and Vector Database Setup</w:t>
      </w:r>
    </w:p>
    <w:p>
      <w:r>
        <w:t>Semantic retrieval in this study depends on two connected components: an embedding model that converts text into vectors, and a vector database that stores and searches those vectors at query time. The choices made for both components are described below. A separate comparison of alternative embedding models and vector database backends was also carried out, and those setups are covered in the same subsections.</w:t>
      </w:r>
    </w:p>
    <w:p>
      <w:pPr>
        <w:pStyle w:val="Heading3"/>
      </w:pPr>
      <w:r>
        <w:t>3.6.1 Embedding Model</w:t>
      </w:r>
    </w:p>
    <w:p>
      <w:r>
        <w:t>The model intfloat/e5-base-v2 was selected as the primary embedding model. It belongs to the E5 family of models from the sentence-transformers library and was built specifically for passage retrieval tasks. Each encoded text is represented as a 768-dimensional vector.</w:t>
      </w:r>
    </w:p>
    <w:p>
      <w:r>
        <w:t>The E5 model requires text prefixes before encoding is done. The prefix "query: " is added before each question, and "passage: " is added before each sentence candidate. Without these prefixes the model does not align question and passage vectors into the same space correctly, so both were applied consistently across all pipelines that used this model.</w:t>
      </w:r>
    </w:p>
    <w:p>
      <w:r>
        <w:t>A secondary embedding model comparison was carried out to test whether the choice of embedding model affected retrieval quality. All four models in the comparison were run with ChromaDB as the backend. The all-MiniLM-L6-v2 model of 384 dimensions served as the baseline and required no prefix. The all-mpnet-base-v2 and multi-qa-mpnet-base-cos-v1 models both produce 768-dimensional vectors and also required no prefix. The bge-base-en-v1.5 model produces 768-dimensional vectors and required a query prefix before each question.</w:t>
      </w:r>
    </w:p>
    <w:p>
      <w:pPr>
        <w:pStyle w:val="Heading3"/>
      </w:pPr>
      <w:r>
        <w:t>3.6.2 Vector Database Setup</w:t>
      </w:r>
    </w:p>
    <w:p>
      <w:r>
        <w:t>ChromaDB was selected as the primary vector database. An ephemeral in-memory client was used so that no persistent index file was written to disk. A fresh collection was created for each sample at runtime. Cosine similarity was used as the distance metric, with HNSW-based indexing applied inside ChromaDB for approximate nearest-neighbour search.</w:t>
      </w:r>
    </w:p>
    <w:p>
      <w:r>
        <w:t>BM25 was kept separate from the vector database setup. It was handled through the rank-bm25 library using the BM25Okapi class. Sentence text was lower-cased and split by whitespace before being indexed. No vector embedding was involved, and scores were computed directly at retrieval time.</w:t>
      </w:r>
    </w:p>
    <w:p>
      <w:r>
        <w:t>Four additional vector database backends were explored as part of a separate comparison, all used with intfloat/e5-base-v2. FAISS was run locally using a flat L2 index through the faiss-cpu package. LanceDB was used as a local embedded columnar store. Qdrant and Pinecone were both accessed as cloud-hosted services and used cosine similarity for retrieval.</w:t>
      </w:r>
    </w:p>
    <w:p>
      <w:r>
        <w:t>A summary of the primary setup is given in Table 3.x.</w:t>
      </w:r>
    </w:p>
    <w:p>
      <w:r>
        <w:rPr>
          <w:b/>
        </w:rPr>
        <w:t>Table 3.x: Embedding and Vector Database Setup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Selected Tool</w:t>
            </w:r>
          </w:p>
        </w:tc>
        <w:tc>
          <w:tcPr>
            <w:tcW w:type="dxa" w:w="2160"/>
          </w:tcPr>
          <w:p>
            <w:r>
              <w:rPr>
                <w:b/>
              </w:rPr>
              <w:t>Purpose</w:t>
            </w:r>
          </w:p>
        </w:tc>
        <w:tc>
          <w:tcPr>
            <w:tcW w:type="dxa" w:w="2160"/>
          </w:tcPr>
          <w:p>
            <w:r>
              <w:rPr>
                <w:b/>
              </w:rPr>
              <w:t>Reason for Selection</w:t>
            </w:r>
          </w:p>
        </w:tc>
      </w:tr>
      <w:tr>
        <w:tc>
          <w:tcPr>
            <w:tcW w:type="dxa" w:w="2160"/>
          </w:tcPr>
          <w:p>
            <w:r>
              <w:t>Embedding model</w:t>
            </w:r>
          </w:p>
        </w:tc>
        <w:tc>
          <w:tcPr>
            <w:tcW w:type="dxa" w:w="2160"/>
          </w:tcPr>
          <w:p>
            <w:r>
              <w:t>intfloat/e5-base-v2 (768-dim)</w:t>
            </w:r>
          </w:p>
        </w:tc>
        <w:tc>
          <w:tcPr>
            <w:tcW w:type="dxa" w:w="2160"/>
          </w:tcPr>
          <w:p>
            <w:r>
              <w:t>Convert sentences and questions to vectors</w:t>
            </w:r>
          </w:p>
        </w:tc>
        <w:tc>
          <w:tcPr>
            <w:tcW w:type="dxa" w:w="2160"/>
          </w:tcPr>
          <w:p>
            <w:r>
              <w:t>Built for retrieval; uses query/passage prefix alignment</w:t>
            </w:r>
          </w:p>
        </w:tc>
      </w:tr>
      <w:tr>
        <w:tc>
          <w:tcPr>
            <w:tcW w:type="dxa" w:w="2160"/>
          </w:tcPr>
          <w:p>
            <w:r>
              <w:t>Query prefix</w:t>
            </w:r>
          </w:p>
        </w:tc>
        <w:tc>
          <w:tcPr>
            <w:tcW w:type="dxa" w:w="2160"/>
          </w:tcPr>
          <w:p>
            <w:r>
              <w:t>"query: "</w:t>
            </w:r>
          </w:p>
        </w:tc>
        <w:tc>
          <w:tcPr>
            <w:tcW w:type="dxa" w:w="2160"/>
          </w:tcPr>
          <w:p>
            <w:r>
              <w:t>Prepare question text for encoding</w:t>
            </w:r>
          </w:p>
        </w:tc>
        <w:tc>
          <w:tcPr>
            <w:tcW w:type="dxa" w:w="2160"/>
          </w:tcPr>
          <w:p>
            <w:r>
              <w:t>Required by E5 model design</w:t>
            </w:r>
          </w:p>
        </w:tc>
      </w:tr>
      <w:tr>
        <w:tc>
          <w:tcPr>
            <w:tcW w:type="dxa" w:w="2160"/>
          </w:tcPr>
          <w:p>
            <w:r>
              <w:t>Passage prefix</w:t>
            </w:r>
          </w:p>
        </w:tc>
        <w:tc>
          <w:tcPr>
            <w:tcW w:type="dxa" w:w="2160"/>
          </w:tcPr>
          <w:p>
            <w:r>
              <w:t>"passage: "</w:t>
            </w:r>
          </w:p>
        </w:tc>
        <w:tc>
          <w:tcPr>
            <w:tcW w:type="dxa" w:w="2160"/>
          </w:tcPr>
          <w:p>
            <w:r>
              <w:t>Prepare sentence text for encoding</w:t>
            </w:r>
          </w:p>
        </w:tc>
        <w:tc>
          <w:tcPr>
            <w:tcW w:type="dxa" w:w="2160"/>
          </w:tcPr>
          <w:p>
            <w:r>
              <w:t>Required by E5 model design</w:t>
            </w:r>
          </w:p>
        </w:tc>
      </w:tr>
      <w:tr>
        <w:tc>
          <w:tcPr>
            <w:tcW w:type="dxa" w:w="2160"/>
          </w:tcPr>
          <w:p>
            <w:r>
              <w:t>Primary vector database</w:t>
            </w:r>
          </w:p>
        </w:tc>
        <w:tc>
          <w:tcPr>
            <w:tcW w:type="dxa" w:w="2160"/>
          </w:tcPr>
          <w:p>
            <w:r>
              <w:t>ChromaDB (in-memory)</w:t>
            </w:r>
          </w:p>
        </w:tc>
        <w:tc>
          <w:tcPr>
            <w:tcW w:type="dxa" w:w="2160"/>
          </w:tcPr>
          <w:p>
            <w:r>
              <w:t>Store and search dense vectors</w:t>
            </w:r>
          </w:p>
        </w:tc>
        <w:tc>
          <w:tcPr>
            <w:tcW w:type="dxa" w:w="2160"/>
          </w:tcPr>
          <w:p>
            <w:r>
              <w:t>No external service needed; cosine HNSW supported</w:t>
            </w:r>
          </w:p>
        </w:tc>
      </w:tr>
      <w:tr>
        <w:tc>
          <w:tcPr>
            <w:tcW w:type="dxa" w:w="2160"/>
          </w:tcPr>
          <w:p>
            <w:r>
              <w:t>Similarity metric</w:t>
            </w:r>
          </w:p>
        </w:tc>
        <w:tc>
          <w:tcPr>
            <w:tcW w:type="dxa" w:w="2160"/>
          </w:tcPr>
          <w:p>
            <w:r>
              <w:t>Cosine similarity</w:t>
            </w:r>
          </w:p>
        </w:tc>
        <w:tc>
          <w:tcPr>
            <w:tcW w:type="dxa" w:w="2160"/>
          </w:tcPr>
          <w:p>
            <w:r>
              <w:t>Rank candidates by closeness</w:t>
            </w:r>
          </w:p>
        </w:tc>
        <w:tc>
          <w:tcPr>
            <w:tcW w:type="dxa" w:w="2160"/>
          </w:tcPr>
          <w:p>
            <w:r>
              <w:t>Standard for normalised dense retrieval</w:t>
            </w:r>
          </w:p>
        </w:tc>
      </w:tr>
      <w:tr>
        <w:tc>
          <w:tcPr>
            <w:tcW w:type="dxa" w:w="2160"/>
          </w:tcPr>
          <w:p>
            <w:r>
              <w:t>Keyword index</w:t>
            </w:r>
          </w:p>
        </w:tc>
        <w:tc>
          <w:tcPr>
            <w:tcW w:type="dxa" w:w="2160"/>
          </w:tcPr>
          <w:p>
            <w:r>
              <w:t>rank-bm25 (BM25Okapi)</w:t>
            </w:r>
          </w:p>
        </w:tc>
        <w:tc>
          <w:tcPr>
            <w:tcW w:type="dxa" w:w="2160"/>
          </w:tcPr>
          <w:p>
            <w:r>
              <w:t>Sparse keyword retrieval</w:t>
            </w:r>
          </w:p>
        </w:tc>
        <w:tc>
          <w:tcPr>
            <w:tcW w:type="dxa" w:w="2160"/>
          </w:tcPr>
          <w:p>
            <w:r>
              <w:t>No embedding needed; widely used baseline</w:t>
            </w:r>
          </w:p>
        </w:tc>
      </w:tr>
      <w:tr>
        <w:tc>
          <w:tcPr>
            <w:tcW w:type="dxa" w:w="2160"/>
          </w:tcPr>
          <w:p>
            <w:r>
              <w:t>Tokenisation for BM25</w:t>
            </w:r>
          </w:p>
        </w:tc>
        <w:tc>
          <w:tcPr>
            <w:tcW w:type="dxa" w:w="2160"/>
          </w:tcPr>
          <w:p>
            <w:r>
              <w:t>Lower-case whitespace split</w:t>
            </w:r>
          </w:p>
        </w:tc>
        <w:tc>
          <w:tcPr>
            <w:tcW w:type="dxa" w:w="2160"/>
          </w:tcPr>
          <w:p>
            <w:r>
              <w:t>Prepare text for BM25 scoring</w:t>
            </w:r>
          </w:p>
        </w:tc>
        <w:tc>
          <w:tcPr>
            <w:tcW w:type="dxa" w:w="2160"/>
          </w:tcPr>
          <w:p>
            <w:r>
              <w:t>Consistent with standard BM25 practice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0" w:lineRule="exact"/>
      <w:jc w:val="both"/>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