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Arial" w:cs="Arial" w:eastAsia="Arial" w:hAnsi="Arial"/>
          <w:b w:val="false"/>
          <w:bCs w:val="false"/>
          <w:i w:val="false"/>
          <w:iCs w:val="false"/>
          <w:caps w:val="false"/>
          <w:color w:val="1C2B4A"/>
          <w:sz w:val="22"/>
          <w:szCs w:val="22"/>
        </w:rPr>
        <w:t xml:space="preserve"/>
      </w:r>
    </w:p>
    <w:p>
      <w:pPr>
        <w:spacing w:after="60" w:before="0"/>
        <w:jc w:val="center"/>
      </w:pPr>
      <w:r>
        <w:rPr>
          <w:rFonts w:ascii="Arial" w:cs="Arial" w:eastAsia="Arial" w:hAnsi="Arial"/>
          <w:b/>
          <w:bCs/>
          <w:i w:val="false"/>
          <w:iCs w:val="false"/>
          <w:caps w:val="false"/>
          <w:color w:val="1A56DB"/>
          <w:sz w:val="80"/>
          <w:szCs w:val="80"/>
        </w:rPr>
        <w:t xml:space="preserve">Dox2Dox</w:t>
      </w:r>
    </w:p>
    <w:p>
      <w:pPr>
        <w:spacing w:after="60" w:before="0"/>
        <w:jc w:val="center"/>
      </w:pPr>
      <w:r>
        <w:rPr>
          <w:rFonts w:ascii="Arial" w:cs="Arial" w:eastAsia="Arial" w:hAnsi="Arial"/>
          <w:b w:val="false"/>
          <w:bCs w:val="false"/>
          <w:i/>
          <w:iCs/>
          <w:caps w:val="false"/>
          <w:color w:val="4A5E8C"/>
          <w:sz w:val="26"/>
          <w:szCs w:val="26"/>
        </w:rPr>
        <w:t xml:space="preserve">Doctor-to-Doctor Communication Platform</w:t>
      </w:r>
    </w:p>
    <w:p>
      <w:pPr>
        <w:pBdr>
          <w:bottom w:val="single" w:color="0ABFAD" w:sz="3" w:space="1"/>
        </w:pBdr>
        <w:spacing w:after="280" w:before="0"/>
        <w:jc w:val="center"/>
      </w:pPr>
      <w:r>
        <w:rPr>
          <w:rFonts w:ascii="Arial" w:cs="Arial" w:eastAsia="Arial" w:hAnsi="Arial"/>
          <w:b w:val="false"/>
          <w:bCs w:val="false"/>
          <w:i w:val="false"/>
          <w:iCs w:val="false"/>
          <w:caps w:val="false"/>
          <w:color w:val="1C2B4A"/>
          <w:sz w:val="22"/>
          <w:szCs w:val="22"/>
        </w:rPr>
        <w:t xml:space="preserve"/>
      </w:r>
    </w:p>
    <w:p>
      <w:pPr>
        <w:spacing w:after="0" w:before="160"/>
      </w:pPr>
      <w:r>
        <w:rPr>
          <w:rFonts w:ascii="Arial" w:cs="Arial" w:eastAsia="Arial" w:hAnsi="Arial"/>
          <w:b w:val="false"/>
          <w:bCs w:val="false"/>
          <w:i w:val="false"/>
          <w:iCs w:val="false"/>
          <w:caps w:val="false"/>
          <w:color w:val="1C2B4A"/>
          <w:sz w:val="22"/>
          <w:szCs w:val="22"/>
        </w:rPr>
        <w:t xml:space="preserve"/>
      </w:r>
    </w:p>
    <w:p>
      <w:pPr>
        <w:spacing w:after="60" w:before="0"/>
        <w:jc w:val="center"/>
      </w:pPr>
      <w:r>
        <w:rPr>
          <w:rFonts w:ascii="Arial" w:cs="Arial" w:eastAsia="Arial" w:hAnsi="Arial"/>
          <w:b/>
          <w:bCs/>
          <w:i w:val="false"/>
          <w:iCs w:val="false"/>
          <w:caps w:val="false"/>
          <w:color w:val="1C2B4A"/>
          <w:sz w:val="28"/>
          <w:szCs w:val="28"/>
        </w:rPr>
        <w:t xml:space="preserve">Business Flow &amp; Requirements Document</w:t>
      </w:r>
    </w:p>
    <w:p>
      <w:pPr>
        <w:spacing w:after="40" w:before="0"/>
        <w:jc w:val="center"/>
      </w:pPr>
      <w:r>
        <w:rPr>
          <w:rFonts w:ascii="Arial" w:cs="Arial" w:eastAsia="Arial" w:hAnsi="Arial"/>
          <w:b w:val="false"/>
          <w:bCs w:val="false"/>
          <w:i w:val="false"/>
          <w:iCs w:val="false"/>
          <w:caps w:val="false"/>
          <w:color w:val="8A9CC4"/>
          <w:sz w:val="21"/>
          <w:szCs w:val="21"/>
        </w:rPr>
        <w:t xml:space="preserve">Investor &amp; Partner Edition  ·  Version 1.1  ·  Confidential</w:t>
      </w:r>
    </w:p>
    <w:p>
      <w:pPr>
        <w:spacing w:after="0" w:before="0"/>
        <w:jc w:val="center"/>
      </w:pPr>
      <w:r>
        <w:rPr>
          <w:rFonts w:ascii="Arial" w:cs="Arial" w:eastAsia="Arial" w:hAnsi="Arial"/>
          <w:b w:val="false"/>
          <w:bCs w:val="false"/>
          <w:i w:val="false"/>
          <w:iCs w:val="false"/>
          <w:caps w:val="false"/>
          <w:color w:val="8A9CC4"/>
          <w:sz w:val="21"/>
          <w:szCs w:val="21"/>
        </w:rPr>
        <w:t xml:space="preserve">May 2026</w:t>
      </w:r>
    </w:p>
    <w:p>
      <w:pPr>
        <w:spacing w:after="0" w:before="280"/>
      </w:pPr>
      <w:r>
        <w:rPr>
          <w:rFonts w:ascii="Arial" w:cs="Arial" w:eastAsia="Arial" w:hAnsi="Arial"/>
          <w:b w:val="false"/>
          <w:bCs w:val="false"/>
          <w:i w:val="false"/>
          <w:iCs w:val="false"/>
          <w:caps w:val="false"/>
          <w:color w:val="1C2B4A"/>
          <w:sz w:val="22"/>
          <w:szCs w:val="2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shd w:fill="EBF3FF" w:val="clear"/>
            <w:tcMar>
              <w:top w:type="dxa" w:w="80"/>
              <w:left w:type="dxa" w:w="160"/>
              <w:bottom w:type="dxa" w:w="80"/>
              <w:right w:type="dxa" w:w="100"/>
            </w:tcMar>
          </w:tcPr>
          <w:p>
            <w:pPr>
              <w:jc w:val="right"/>
            </w:pPr>
            <w:r>
              <w:rPr>
                <w:rFonts w:ascii="Arial" w:cs="Arial" w:eastAsia="Arial" w:hAnsi="Arial"/>
                <w:b/>
                <w:bCs/>
                <w:i w:val="false"/>
                <w:iCs w:val="false"/>
                <w:caps w:val="false"/>
                <w:color w:val="0F3499"/>
                <w:sz w:val="20"/>
                <w:szCs w:val="20"/>
              </w:rPr>
              <w:t xml:space="preserve">Clinical Lead &amp; US Sales</w:t>
            </w:r>
          </w:p>
        </w:tc>
        <w:tc>
          <w:tcPr>
            <w:tcW w:type="dxa" w:w="3200"/>
            <w:tcBorders>
              <w:top w:val="none" w:color="FFFFFF" w:sz="0"/>
              <w:left w:val="none" w:color="FFFFFF" w:sz="0"/>
              <w:bottom w:val="none" w:color="FFFFFF" w:sz="0"/>
              <w:right w:val="none" w:color="FFFFFF" w:sz="0"/>
            </w:tcBorders>
            <w:shd w:fill="EBF3FF" w:val="clear"/>
            <w:tcMar>
              <w:top w:type="dxa" w:w="80"/>
              <w:left w:type="dxa" w:w="160"/>
              <w:bottom w:type="dxa" w:w="80"/>
              <w:right w:type="dxa" w:w="160"/>
            </w:tcMar>
          </w:tcPr>
          <w:p>
            <w:r>
              <w:rPr>
                <w:rFonts w:ascii="Arial" w:cs="Arial" w:eastAsia="Arial" w:hAnsi="Arial"/>
                <w:b w:val="false"/>
                <w:bCs w:val="false"/>
                <w:i w:val="false"/>
                <w:iCs w:val="false"/>
                <w:caps w:val="false"/>
                <w:color w:val="1C2B4A"/>
                <w:sz w:val="20"/>
                <w:szCs w:val="20"/>
              </w:rPr>
              <w:t xml:space="preserve">Dr. Vimal</w:t>
            </w:r>
          </w:p>
        </w:tc>
      </w:tr>
      <w:tr>
        <w:tc>
          <w:tcPr>
            <w:tcW w:type="dxa" w:w="220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jc w:val="right"/>
            </w:pPr>
            <w:r>
              <w:rPr>
                <w:rFonts w:ascii="Arial" w:cs="Arial" w:eastAsia="Arial" w:hAnsi="Arial"/>
                <w:b/>
                <w:bCs/>
                <w:i w:val="false"/>
                <w:iCs w:val="false"/>
                <w:caps w:val="false"/>
                <w:color w:val="0F3499"/>
                <w:sz w:val="20"/>
                <w:szCs w:val="20"/>
              </w:rPr>
              <w:t xml:space="preserve">Operations &amp; Corporate</w:t>
            </w:r>
          </w:p>
        </w:tc>
        <w:tc>
          <w:tcPr>
            <w:tcW w:type="dxa" w:w="3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val="false"/>
                <w:bCs w:val="false"/>
                <w:i w:val="false"/>
                <w:iCs w:val="false"/>
                <w:caps w:val="false"/>
                <w:color w:val="1C2B4A"/>
                <w:sz w:val="20"/>
                <w:szCs w:val="20"/>
              </w:rPr>
              <w:t xml:space="preserve">DJ</w:t>
            </w:r>
          </w:p>
        </w:tc>
      </w:tr>
      <w:tr>
        <w:tc>
          <w:tcPr>
            <w:tcW w:type="dxa" w:w="2200"/>
            <w:tcBorders>
              <w:top w:val="none" w:color="FFFFFF" w:sz="0"/>
              <w:left w:val="none" w:color="FFFFFF" w:sz="0"/>
              <w:bottom w:val="none" w:color="FFFFFF" w:sz="0"/>
              <w:right w:val="none" w:color="FFFFFF" w:sz="0"/>
            </w:tcBorders>
            <w:shd w:fill="EBF3FF" w:val="clear"/>
            <w:tcMar>
              <w:top w:type="dxa" w:w="80"/>
              <w:left w:type="dxa" w:w="160"/>
              <w:bottom w:type="dxa" w:w="80"/>
              <w:right w:type="dxa" w:w="100"/>
            </w:tcMar>
          </w:tcPr>
          <w:p>
            <w:pPr>
              <w:jc w:val="right"/>
            </w:pPr>
            <w:r>
              <w:rPr>
                <w:rFonts w:ascii="Arial" w:cs="Arial" w:eastAsia="Arial" w:hAnsi="Arial"/>
                <w:b/>
                <w:bCs/>
                <w:i w:val="false"/>
                <w:iCs w:val="false"/>
                <w:caps w:val="false"/>
                <w:color w:val="0F3499"/>
                <w:sz w:val="20"/>
                <w:szCs w:val="20"/>
              </w:rPr>
              <w:t xml:space="preserve">Engineering Lead</w:t>
            </w:r>
          </w:p>
        </w:tc>
        <w:tc>
          <w:tcPr>
            <w:tcW w:type="dxa" w:w="3200"/>
            <w:tcBorders>
              <w:top w:val="none" w:color="FFFFFF" w:sz="0"/>
              <w:left w:val="none" w:color="FFFFFF" w:sz="0"/>
              <w:bottom w:val="none" w:color="FFFFFF" w:sz="0"/>
              <w:right w:val="none" w:color="FFFFFF" w:sz="0"/>
            </w:tcBorders>
            <w:shd w:fill="EBF3FF" w:val="clear"/>
            <w:tcMar>
              <w:top w:type="dxa" w:w="80"/>
              <w:left w:type="dxa" w:w="160"/>
              <w:bottom w:type="dxa" w:w="80"/>
              <w:right w:type="dxa" w:w="160"/>
            </w:tcMar>
          </w:tcPr>
          <w:p>
            <w:r>
              <w:rPr>
                <w:rFonts w:ascii="Arial" w:cs="Arial" w:eastAsia="Arial" w:hAnsi="Arial"/>
                <w:b w:val="false"/>
                <w:bCs w:val="false"/>
                <w:i w:val="false"/>
                <w:iCs w:val="false"/>
                <w:caps w:val="false"/>
                <w:color w:val="1C2B4A"/>
                <w:sz w:val="20"/>
                <w:szCs w:val="20"/>
              </w:rPr>
              <w:t xml:space="preserve">Lokesh</w:t>
            </w:r>
          </w:p>
        </w:tc>
      </w:tr>
    </w:tbl>
    <w:p>
      <w:r>
        <w:br w:type="page"/>
      </w:r>
    </w:p>
    <w:p>
      <w:pPr>
        <w:pStyle w:val="Heading1"/>
        <w:pBdr>
          <w:bottom w:val="single" w:color="1A56DB" w:sz="6" w:space="6"/>
        </w:pBdr>
        <w:spacing w:after="160" w:before="480"/>
      </w:pPr>
      <w:r>
        <w:rPr>
          <w:rFonts w:ascii="Arial" w:cs="Arial" w:eastAsia="Arial" w:hAnsi="Arial"/>
          <w:b/>
          <w:bCs/>
          <w:i w:val="false"/>
          <w:iCs w:val="false"/>
          <w:caps w:val="false"/>
          <w:color w:val="1C2B4A"/>
          <w:sz w:val="34"/>
          <w:szCs w:val="34"/>
        </w:rPr>
        <w:t xml:space="preserve">1. The Opportunity</w:t>
      </w:r>
    </w:p>
    <w:p>
      <w:pPr>
        <w:pStyle w:val="Heading2"/>
        <w:spacing w:after="120" w:before="320"/>
      </w:pPr>
      <w:r>
        <w:rPr>
          <w:rFonts w:ascii="Arial" w:cs="Arial" w:eastAsia="Arial" w:hAnsi="Arial"/>
          <w:b/>
          <w:bCs/>
          <w:i w:val="false"/>
          <w:iCs w:val="false"/>
          <w:caps w:val="false"/>
          <w:color w:val="0F3499"/>
          <w:sz w:val="26"/>
          <w:szCs w:val="26"/>
        </w:rPr>
        <w:t xml:space="preserve">1.1  The Problem</w:t>
      </w:r>
    </w:p>
    <w:p>
      <w:pPr>
        <w:spacing w:after="80" w:before="60"/>
        <w:jc w:val="left"/>
      </w:pPr>
      <w:r>
        <w:rPr>
          <w:rFonts w:ascii="Arial" w:cs="Arial" w:eastAsia="Arial" w:hAnsi="Arial"/>
          <w:b w:val="false"/>
          <w:bCs w:val="false"/>
          <w:i w:val="false"/>
          <w:iCs w:val="false"/>
          <w:caps w:val="false"/>
          <w:color w:val="1C2B4A"/>
          <w:sz w:val="22"/>
          <w:szCs w:val="22"/>
        </w:rPr>
        <w:t xml:space="preserve">Physicians in the United States communicate patient-sensitive clinical information over personal cell phones every day — using WhatsApp, iMessage, and standard SMS. This is a HIPAA violation. It exposes individual doctors to personal liability of up to $1.9M per breach. It results in fragmented, delayed clinical communication that directly impacts patient outcomes.</w:t>
      </w:r>
    </w:p>
    <w:p>
      <w:pPr>
        <w:spacing w:after="0" w:before="8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EF2F8" w:sz="1"/>
              <w:left w:val="single" w:color="1A56DB" w:sz="20"/>
              <w:bottom w:val="single" w:color="EEF2F8" w:sz="1"/>
              <w:right w:val="single" w:color="EEF2F8" w:sz="1"/>
            </w:tcBorders>
            <w:shd w:fill="EBF3FF" w:val="clear"/>
            <w:tcMar>
              <w:top w:type="dxa" w:w="120"/>
              <w:left w:type="dxa" w:w="220"/>
              <w:bottom w:type="dxa" w:w="120"/>
              <w:right w:type="dxa" w:w="180"/>
            </w:tcMar>
          </w:tcPr>
          <w:p>
            <w:pPr>
              <w:spacing w:after="0" w:before="0"/>
            </w:pPr>
            <w:r>
              <w:rPr>
                <w:rFonts w:ascii="Arial" w:cs="Arial" w:eastAsia="Arial" w:hAnsi="Arial"/>
                <w:b/>
                <w:bCs/>
                <w:i w:val="false"/>
                <w:iCs w:val="false"/>
                <w:caps w:val="false"/>
                <w:color w:val="0F3499"/>
                <w:sz w:val="20"/>
                <w:szCs w:val="20"/>
              </w:rPr>
              <w:t xml:space="preserve">The gap in the market:</w:t>
            </w:r>
          </w:p>
          <w:p>
            <w:pPr>
              <w:spacing w:after="0" w:before="60"/>
            </w:pPr>
            <w:r>
              <w:rPr>
                <w:rFonts w:ascii="Arial" w:cs="Arial" w:eastAsia="Arial" w:hAnsi="Arial"/>
                <w:b w:val="false"/>
                <w:bCs w:val="false"/>
                <w:i w:val="false"/>
                <w:iCs w:val="false"/>
                <w:caps w:val="false"/>
                <w:color w:val="0F3499"/>
                <w:sz w:val="20"/>
                <w:szCs w:val="20"/>
              </w:rPr>
              <w:t xml:space="preserve">Enterprise solutions (Epic, Vocera) cost $50,000–$500,000 to implement and require EMR integration — entirely inaccessible to small independent practices. Consumer apps (WhatsApp, iMessage) are fast and familiar but illegal for clinical use. Nothing exists in between.</w:t>
            </w:r>
          </w:p>
        </w:tc>
      </w:tr>
    </w:tbl>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1.2  The Solution</w:t>
      </w:r>
    </w:p>
    <w:p>
      <w:pPr>
        <w:spacing w:after="80" w:before="60"/>
        <w:jc w:val="left"/>
      </w:pPr>
      <w:r>
        <w:rPr>
          <w:rFonts w:ascii="Arial" w:cs="Arial" w:eastAsia="Arial" w:hAnsi="Arial"/>
          <w:b w:val="false"/>
          <w:bCs w:val="false"/>
          <w:i w:val="false"/>
          <w:iCs w:val="false"/>
          <w:caps w:val="false"/>
          <w:color w:val="1C2B4A"/>
          <w:sz w:val="22"/>
          <w:szCs w:val="22"/>
        </w:rPr>
        <w:t xml:space="preserve">Dox2Dox is a mobile-first, HIPAA-compliant communication platform built exclusively for licensed physicians. It delivers the speed and simplicity of WhatsApp with the security and compliance requirements of US healthcare law — at a price point accessible to independent practices.</w:t>
      </w:r>
    </w:p>
    <w:p>
      <w:pPr>
        <w:spacing w:after="0" w:before="80"/>
      </w:pPr>
      <w:r>
        <w:rPr>
          <w:rFonts w:ascii="Arial" w:cs="Arial" w:eastAsia="Arial" w:hAnsi="Arial"/>
          <w:b w:val="false"/>
          <w:bCs w:val="false"/>
          <w:i w:val="false"/>
          <w:iCs w:val="false"/>
          <w:caps w:val="false"/>
          <w:color w:val="1C2B4A"/>
          <w:sz w:val="22"/>
          <w:szCs w:val="22"/>
        </w:rPr>
        <w:t xml:space="preserve"/>
      </w:r>
    </w:p>
    <w:p>
      <w:pPr>
        <w:spacing w:after="80" w:before="60"/>
        <w:jc w:val="left"/>
      </w:pPr>
      <w:r>
        <w:rPr>
          <w:rFonts w:ascii="Arial" w:cs="Arial" w:eastAsia="Arial" w:hAnsi="Arial"/>
          <w:b w:val="false"/>
          <w:bCs w:val="false"/>
          <w:i w:val="false"/>
          <w:iCs w:val="false"/>
          <w:caps w:val="false"/>
          <w:color w:val="1C2B4A"/>
          <w:sz w:val="22"/>
          <w:szCs w:val="22"/>
        </w:rPr>
        <w:t xml:space="preserve">Core capability at launch:</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Secure direct and group messaging between verified doctors within a practice</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Voice notes with automatic clinical transcription — readable without audio</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File and image sharing for ECGs, radiology reports, and clinical documents</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Organization-based access control with invite-code onboarding</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End-to-end encryption and disappearing messages as standard</w:t>
      </w:r>
    </w:p>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1.3  Why Now</w:t>
      </w:r>
    </w:p>
    <w:p>
      <w:pPr>
        <w:spacing w:after="80" w:before="60"/>
        <w:jc w:val="left"/>
      </w:pPr>
      <w:r>
        <w:rPr>
          <w:rFonts w:ascii="Arial" w:cs="Arial" w:eastAsia="Arial" w:hAnsi="Arial"/>
          <w:b w:val="false"/>
          <w:bCs w:val="false"/>
          <w:i w:val="false"/>
          <w:iCs w:val="false"/>
          <w:caps w:val="false"/>
          <w:color w:val="1C2B4A"/>
          <w:sz w:val="22"/>
          <w:szCs w:val="22"/>
        </w:rPr>
        <w:t xml:space="preserve">Three forces are converging that make 2026 the right moment:</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HIPAA enforcement is intensifying — the OCR issued a record $4.3M in fines in 2024 alone, putting independent practices on notice</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Post-COVID telehealth normalization has made doctors comfortable with digital clinical tools — adoption friction is at an all-time low</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No credible mobile-native, practice-sized HIPAA messaging product exists — the market is open</w:t>
      </w:r>
    </w:p>
    <w:p>
      <w:pPr>
        <w:spacing w:after="0" w:before="8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EF2F8" w:sz="1"/>
              <w:left w:val="single" w:color="0ABFAD" w:sz="20"/>
              <w:bottom w:val="single" w:color="EEF2F8" w:sz="1"/>
              <w:right w:val="single" w:color="EEF2F8" w:sz="1"/>
            </w:tcBorders>
            <w:shd w:fill="E0FAF7" w:val="clear"/>
            <w:tcMar>
              <w:top w:type="dxa" w:w="120"/>
              <w:left w:type="dxa" w:w="220"/>
              <w:bottom w:type="dxa" w:w="120"/>
              <w:right w:type="dxa" w:w="180"/>
            </w:tcMar>
          </w:tcPr>
          <w:p>
            <w:pPr>
              <w:spacing w:after="0" w:before="0"/>
            </w:pPr>
            <w:r>
              <w:rPr>
                <w:rFonts w:ascii="Arial" w:cs="Arial" w:eastAsia="Arial" w:hAnsi="Arial"/>
                <w:b/>
                <w:bCs/>
                <w:i w:val="false"/>
                <w:iCs w:val="false"/>
                <w:caps w:val="false"/>
                <w:color w:val="0D6B62"/>
                <w:sz w:val="20"/>
                <w:szCs w:val="20"/>
              </w:rPr>
              <w:t xml:space="preserve">Our unfair advantage:</w:t>
            </w:r>
          </w:p>
          <w:p>
            <w:pPr>
              <w:spacing w:after="0" w:before="60"/>
            </w:pPr>
            <w:r>
              <w:rPr>
                <w:rFonts w:ascii="Arial" w:cs="Arial" w:eastAsia="Arial" w:hAnsi="Arial"/>
                <w:b w:val="false"/>
                <w:bCs w:val="false"/>
                <w:i w:val="false"/>
                <w:iCs w:val="false"/>
                <w:caps w:val="false"/>
                <w:color w:val="0D6B62"/>
                <w:sz w:val="20"/>
                <w:szCs w:val="20"/>
              </w:rPr>
              <w:t xml:space="preserve">Dr. Vimal is a practicing US cardiologist and co-founder. He is not an advisor — he is a clinical insider with peer relationships across the independent practice community. He can walk into a pitch as a physician, not a salesperson. This is the difference between a product sold to doctors and a product built by one.</w:t>
            </w:r>
          </w:p>
        </w:tc>
      </w:tr>
    </w:tbl>
    <w:p>
      <w:r>
        <w:br w:type="page"/>
      </w:r>
    </w:p>
    <w:p>
      <w:pPr>
        <w:pStyle w:val="Heading1"/>
        <w:pBdr>
          <w:bottom w:val="single" w:color="1A56DB" w:sz="6" w:space="6"/>
        </w:pBdr>
        <w:spacing w:after="160" w:before="480"/>
      </w:pPr>
      <w:r>
        <w:rPr>
          <w:rFonts w:ascii="Arial" w:cs="Arial" w:eastAsia="Arial" w:hAnsi="Arial"/>
          <w:b/>
          <w:bCs/>
          <w:i w:val="false"/>
          <w:iCs w:val="false"/>
          <w:caps w:val="false"/>
          <w:color w:val="1C2B4A"/>
          <w:sz w:val="34"/>
          <w:szCs w:val="34"/>
        </w:rPr>
        <w:t xml:space="preserve">2. Market &amp; Business Model</w:t>
      </w:r>
    </w:p>
    <w:p>
      <w:pPr>
        <w:pStyle w:val="Heading2"/>
        <w:spacing w:after="120" w:before="320"/>
      </w:pPr>
      <w:r>
        <w:rPr>
          <w:rFonts w:ascii="Arial" w:cs="Arial" w:eastAsia="Arial" w:hAnsi="Arial"/>
          <w:b/>
          <w:bCs/>
          <w:i w:val="false"/>
          <w:iCs w:val="false"/>
          <w:caps w:val="false"/>
          <w:color w:val="0F3499"/>
          <w:sz w:val="26"/>
          <w:szCs w:val="26"/>
        </w:rPr>
        <w:t xml:space="preserve">2.1  Target Market — United States</w:t>
      </w:r>
    </w:p>
    <w:p>
      <w:pPr>
        <w:spacing w:after="80" w:before="60"/>
        <w:jc w:val="left"/>
      </w:pPr>
      <w:r>
        <w:rPr>
          <w:rFonts w:ascii="Arial" w:cs="Arial" w:eastAsia="Arial" w:hAnsi="Arial"/>
          <w:b w:val="false"/>
          <w:bCs w:val="false"/>
          <w:i w:val="false"/>
          <w:iCs w:val="false"/>
          <w:caps w:val="false"/>
          <w:color w:val="1C2B4A"/>
          <w:sz w:val="22"/>
          <w:szCs w:val="22"/>
        </w:rPr>
        <w:t xml:space="preserve">Dox2Dox is built for the US healthcare market. We are not targeting large hospital chains. We are targeting the 220,000+ independent physician practices and specialty groups that represent the fastest, most accessible path to revenue.</w:t>
      </w:r>
    </w:p>
    <w:p>
      <w:pPr>
        <w:spacing w:after="0" w:before="8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1600"/>
        <w:gridCol w:w="1560"/>
      </w:tblGrid>
      <w:tr>
        <w:trPr>
          <w:tblHeader/>
        </w:trPr>
        <w:tc>
          <w:tcPr>
            <w:tcW w:type="dxa" w:w="2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Segment</w:t>
            </w:r>
          </w:p>
        </w:tc>
        <w:tc>
          <w:tcPr>
            <w:tcW w:type="dxa" w:w="1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Est. Count</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Decision Maker</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Sales Cycle</w:t>
            </w:r>
          </w:p>
        </w:tc>
        <w:tc>
          <w:tcPr>
            <w:tcW w:type="dxa" w:w="1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Phase</w:t>
            </w:r>
          </w:p>
        </w:tc>
      </w:tr>
      <w:tr>
        <w:tc>
          <w:tcPr>
            <w:tcW w:type="dxa" w:w="2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Independent practice (2–15 doctors)</w:t>
            </w:r>
          </w:p>
        </w:tc>
        <w:tc>
          <w:tcPr>
            <w:tcW w:type="dxa" w:w="1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220,000+</w:t>
            </w:r>
          </w:p>
        </w:tc>
        <w:tc>
          <w:tcPr>
            <w:tcW w:type="dxa" w:w="2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Practice owner / lead physician</w:t>
            </w:r>
          </w:p>
        </w:tc>
        <w:tc>
          <w:tcPr>
            <w:tcW w:type="dxa" w:w="1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1–3 weeks</w:t>
            </w:r>
          </w:p>
        </w:tc>
        <w:tc>
          <w:tcPr>
            <w:tcW w:type="dxa" w:w="1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1 — Now</w:t>
            </w:r>
          </w:p>
        </w:tc>
      </w:tr>
      <w:tr>
        <w:tc>
          <w:tcPr>
            <w:tcW w:type="dxa" w:w="2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Specialty group (15–75 doctors)</w:t>
            </w:r>
          </w:p>
        </w:tc>
        <w:tc>
          <w:tcPr>
            <w:tcW w:type="dxa" w:w="1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60,000+</w:t>
            </w:r>
          </w:p>
        </w:tc>
        <w:tc>
          <w:tcPr>
            <w:tcW w:type="dxa" w:w="2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Practice administrator</w:t>
            </w:r>
          </w:p>
        </w:tc>
        <w:tc>
          <w:tcPr>
            <w:tcW w:type="dxa" w:w="1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3–8 weeks</w:t>
            </w:r>
          </w:p>
        </w:tc>
        <w:tc>
          <w:tcPr>
            <w:tcW w:type="dxa" w:w="1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2</w:t>
            </w:r>
          </w:p>
        </w:tc>
      </w:tr>
      <w:tr>
        <w:tc>
          <w:tcPr>
            <w:tcW w:type="dxa" w:w="2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Community hospital (75–200 doctors)</w:t>
            </w:r>
          </w:p>
        </w:tc>
        <w:tc>
          <w:tcPr>
            <w:tcW w:type="dxa" w:w="1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1,300+</w:t>
            </w:r>
          </w:p>
        </w:tc>
        <w:tc>
          <w:tcPr>
            <w:tcW w:type="dxa" w:w="2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CTO / COO</w:t>
            </w:r>
          </w:p>
        </w:tc>
        <w:tc>
          <w:tcPr>
            <w:tcW w:type="dxa" w:w="1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2–6 months</w:t>
            </w:r>
          </w:p>
        </w:tc>
        <w:tc>
          <w:tcPr>
            <w:tcW w:type="dxa" w:w="1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3</w:t>
            </w:r>
          </w:p>
        </w:tc>
      </w:tr>
      <w:tr>
        <w:tc>
          <w:tcPr>
            <w:tcW w:type="dxa" w:w="2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Large hospital system</w:t>
            </w:r>
          </w:p>
        </w:tc>
        <w:tc>
          <w:tcPr>
            <w:tcW w:type="dxa" w:w="1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~450</w:t>
            </w:r>
          </w:p>
        </w:tc>
        <w:tc>
          <w:tcPr>
            <w:tcW w:type="dxa" w:w="2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Committee / Legal / IT</w:t>
            </w:r>
          </w:p>
        </w:tc>
        <w:tc>
          <w:tcPr>
            <w:tcW w:type="dxa" w:w="1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6–18 months</w:t>
            </w:r>
          </w:p>
        </w:tc>
        <w:tc>
          <w:tcPr>
            <w:tcW w:type="dxa" w:w="1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Future</w:t>
            </w:r>
          </w:p>
        </w:tc>
      </w:tr>
    </w:tbl>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2.2  Go-To-Market Motion</w:t>
      </w:r>
    </w:p>
    <w:p>
      <w:pPr>
        <w:spacing w:after="80" w:before="60"/>
        <w:jc w:val="left"/>
      </w:pPr>
      <w:r>
        <w:rPr>
          <w:rFonts w:ascii="Arial" w:cs="Arial" w:eastAsia="Arial" w:hAnsi="Arial"/>
          <w:b w:val="false"/>
          <w:bCs w:val="false"/>
          <w:i w:val="false"/>
          <w:iCs w:val="false"/>
          <w:caps w:val="false"/>
          <w:color w:val="1C2B4A"/>
          <w:sz w:val="22"/>
          <w:szCs w:val="22"/>
        </w:rPr>
        <w:t xml:space="preserve">Dox2Dox operates a top-down B2B sales motion. Dr. Vimal is the primary commercial channel in Phase 1, using peer-to-peer outreach within the US cardiology and independent practice community. This is a relationship-driven sale — not product-led growth.</w:t>
      </w:r>
    </w:p>
    <w:p>
      <w:pPr>
        <w:spacing w:after="0" w:before="80"/>
      </w:pPr>
      <w:r>
        <w:rPr>
          <w:rFonts w:ascii="Arial" w:cs="Arial" w:eastAsia="Arial" w:hAnsi="Arial"/>
          <w:b w:val="false"/>
          <w:bCs w:val="false"/>
          <w:i w:val="false"/>
          <w:iCs w:val="false"/>
          <w:caps w:val="false"/>
          <w:color w:val="1C2B4A"/>
          <w:sz w:val="22"/>
          <w:szCs w:val="22"/>
        </w:rPr>
        <w:t xml:space="preserve"/>
      </w:r>
    </w:p>
    <w:p>
      <w:pPr>
        <w:pStyle w:val="Heading3"/>
        <w:spacing w:after="80" w:before="200"/>
      </w:pPr>
      <w:r>
        <w:rPr>
          <w:rFonts w:ascii="Arial" w:cs="Arial" w:eastAsia="Arial" w:hAnsi="Arial"/>
          <w:b/>
          <w:bCs/>
          <w:i w:val="false"/>
          <w:iCs w:val="false"/>
          <w:caps w:val="false"/>
          <w:color w:val="4A5E8C"/>
          <w:sz w:val="22"/>
          <w:szCs w:val="22"/>
        </w:rPr>
        <w:t xml:space="preserve">Phase 1 — Proof of Concept (Months 1–3)</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3–5 independent practices, 5–20 doctors each</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Dr. Vimal direct outreach to known US physician colleagues</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Free pilot in exchange for weekly feedback and a written case study</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Goal: validate clinical workflow, identify friction, build 2–3 referenceable customers</w:t>
      </w:r>
    </w:p>
    <w:p>
      <w:pPr>
        <w:spacing w:after="0" w:before="80"/>
      </w:pPr>
      <w:r>
        <w:rPr>
          <w:rFonts w:ascii="Arial" w:cs="Arial" w:eastAsia="Arial" w:hAnsi="Arial"/>
          <w:b w:val="false"/>
          <w:bCs w:val="false"/>
          <w:i w:val="false"/>
          <w:iCs w:val="false"/>
          <w:caps w:val="false"/>
          <w:color w:val="1C2B4A"/>
          <w:sz w:val="22"/>
          <w:szCs w:val="22"/>
        </w:rPr>
        <w:t xml:space="preserve"/>
      </w:r>
    </w:p>
    <w:p>
      <w:pPr>
        <w:pStyle w:val="Heading3"/>
        <w:spacing w:after="80" w:before="200"/>
      </w:pPr>
      <w:r>
        <w:rPr>
          <w:rFonts w:ascii="Arial" w:cs="Arial" w:eastAsia="Arial" w:hAnsi="Arial"/>
          <w:b/>
          <w:bCs/>
          <w:i w:val="false"/>
          <w:iCs w:val="false"/>
          <w:caps w:val="false"/>
          <w:color w:val="4A5E8C"/>
          <w:sz w:val="22"/>
          <w:szCs w:val="22"/>
        </w:rPr>
        <w:t xml:space="preserve">Phase 2 — Early Revenue (Months 4–9)</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15–30 independent practices across cardiology, orthopedics, neurology</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Referral from Phase 1 champions + conference presence at HRS, ACC, AHA</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Paid annual licenses activated — target $100K ARR</w:t>
      </w:r>
    </w:p>
    <w:p>
      <w:pPr>
        <w:spacing w:after="0" w:before="80"/>
      </w:pPr>
      <w:r>
        <w:rPr>
          <w:rFonts w:ascii="Arial" w:cs="Arial" w:eastAsia="Arial" w:hAnsi="Arial"/>
          <w:b w:val="false"/>
          <w:bCs w:val="false"/>
          <w:i w:val="false"/>
          <w:iCs w:val="false"/>
          <w:caps w:val="false"/>
          <w:color w:val="1C2B4A"/>
          <w:sz w:val="22"/>
          <w:szCs w:val="22"/>
        </w:rPr>
        <w:t xml:space="preserve"/>
      </w:r>
    </w:p>
    <w:p>
      <w:pPr>
        <w:pStyle w:val="Heading3"/>
        <w:spacing w:after="80" w:before="200"/>
      </w:pPr>
      <w:r>
        <w:rPr>
          <w:rFonts w:ascii="Arial" w:cs="Arial" w:eastAsia="Arial" w:hAnsi="Arial"/>
          <w:b/>
          <w:bCs/>
          <w:i w:val="false"/>
          <w:iCs w:val="false"/>
          <w:caps w:val="false"/>
          <w:color w:val="4A5E8C"/>
          <w:sz w:val="22"/>
          <w:szCs w:val="22"/>
        </w:rPr>
        <w:t xml:space="preserve">Phase 3 — Scale (Month 10+)</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Specialty groups and community hospitals</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Dedicated sales hire, inbound referral flywheel</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Target 100+ verified organizations, seed round positioning</w:t>
      </w:r>
    </w:p>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2.3  Pricing Model</w:t>
      </w:r>
    </w:p>
    <w:p>
      <w:pPr>
        <w:spacing w:after="80" w:before="60"/>
        <w:jc w:val="left"/>
      </w:pPr>
      <w:r>
        <w:rPr>
          <w:rFonts w:ascii="Arial" w:cs="Arial" w:eastAsia="Arial" w:hAnsi="Arial"/>
          <w:b w:val="false"/>
          <w:bCs w:val="false"/>
          <w:i w:val="false"/>
          <w:iCs w:val="false"/>
          <w:caps w:val="false"/>
          <w:color w:val="1C2B4A"/>
          <w:sz w:val="22"/>
          <w:szCs w:val="22"/>
        </w:rPr>
        <w:t xml:space="preserve">Annual flat-fee enterprise license with seat caps. Simple, transparent, and easy to close in a single meeting.</w:t>
      </w:r>
    </w:p>
    <w:p>
      <w:pPr>
        <w:spacing w:after="0" w:before="8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760"/>
      </w:tblGrid>
      <w:tr>
        <w:trPr>
          <w:tblHeader/>
        </w:trPr>
        <w:tc>
          <w:tcPr>
            <w:tcW w:type="dxa" w:w="1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Tier</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Seat Cap</w:t>
            </w:r>
          </w:p>
        </w:tc>
        <w:tc>
          <w:tcPr>
            <w:tcW w:type="dxa" w:w="3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Annual Price</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Target Org</w:t>
            </w:r>
          </w:p>
        </w:tc>
      </w:tr>
      <w:tr>
        <w:tc>
          <w:tcPr>
            <w:tcW w:type="dxa" w:w="1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Starter</w:t>
            </w:r>
          </w:p>
        </w:tc>
        <w:tc>
          <w:tcPr>
            <w:tcW w:type="dxa" w:w="18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Up to 10 doctors</w:t>
            </w:r>
          </w:p>
        </w:tc>
        <w:tc>
          <w:tcPr>
            <w:tcW w:type="dxa" w:w="3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TBD — anchored to market discovery</w:t>
            </w:r>
          </w:p>
        </w:tc>
        <w:tc>
          <w:tcPr>
            <w:tcW w:type="dxa" w:w="27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Solo practices, small groups</w:t>
            </w:r>
          </w:p>
        </w:tc>
      </w:tr>
      <w:tr>
        <w:tc>
          <w:tcPr>
            <w:tcW w:type="dxa" w:w="1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Growth</w:t>
            </w:r>
          </w:p>
        </w:tc>
        <w:tc>
          <w:tcPr>
            <w:tcW w:type="dxa" w:w="18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Up to 25 doctors</w:t>
            </w:r>
          </w:p>
        </w:tc>
        <w:tc>
          <w:tcPr>
            <w:tcW w:type="dxa" w:w="3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TBD</w:t>
            </w:r>
          </w:p>
        </w:tc>
        <w:tc>
          <w:tcPr>
            <w:tcW w:type="dxa" w:w="27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Mid-size independent practices</w:t>
            </w:r>
          </w:p>
        </w:tc>
      </w:tr>
      <w:tr>
        <w:tc>
          <w:tcPr>
            <w:tcW w:type="dxa" w:w="1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Practice</w:t>
            </w:r>
          </w:p>
        </w:tc>
        <w:tc>
          <w:tcPr>
            <w:tcW w:type="dxa" w:w="18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Up to 75 doctors</w:t>
            </w:r>
          </w:p>
        </w:tc>
        <w:tc>
          <w:tcPr>
            <w:tcW w:type="dxa" w:w="3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TBD</w:t>
            </w:r>
          </w:p>
        </w:tc>
        <w:tc>
          <w:tcPr>
            <w:tcW w:type="dxa" w:w="27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Large specialty groups</w:t>
            </w:r>
          </w:p>
        </w:tc>
      </w:tr>
      <w:tr>
        <w:tc>
          <w:tcPr>
            <w:tcW w:type="dxa" w:w="1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Enterprise</w:t>
            </w:r>
          </w:p>
        </w:tc>
        <w:tc>
          <w:tcPr>
            <w:tcW w:type="dxa" w:w="18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75+ (custom)</w:t>
            </w:r>
          </w:p>
        </w:tc>
        <w:tc>
          <w:tcPr>
            <w:tcW w:type="dxa" w:w="3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Custom quote</w:t>
            </w:r>
          </w:p>
        </w:tc>
        <w:tc>
          <w:tcPr>
            <w:tcW w:type="dxa" w:w="27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Community hospitals</w:t>
            </w:r>
          </w:p>
        </w:tc>
      </w:tr>
    </w:tbl>
    <w:p>
      <w:pPr>
        <w:spacing w:after="0" w:before="8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EF2F8" w:sz="1"/>
              <w:left w:val="single" w:color="F59E0B" w:sz="20"/>
              <w:bottom w:val="single" w:color="EEF2F8" w:sz="1"/>
              <w:right w:val="single" w:color="EEF2F8" w:sz="1"/>
            </w:tcBorders>
            <w:shd w:fill="FEF3C7" w:val="clear"/>
            <w:tcMar>
              <w:top w:type="dxa" w:w="120"/>
              <w:left w:type="dxa" w:w="220"/>
              <w:bottom w:type="dxa" w:w="120"/>
              <w:right w:type="dxa" w:w="180"/>
            </w:tcMar>
          </w:tcPr>
          <w:p>
            <w:pPr>
              <w:spacing w:after="0" w:before="0"/>
            </w:pPr>
            <w:r>
              <w:rPr>
                <w:rFonts w:ascii="Arial" w:cs="Arial" w:eastAsia="Arial" w:hAnsi="Arial"/>
                <w:b/>
                <w:bCs/>
                <w:i w:val="false"/>
                <w:iCs w:val="false"/>
                <w:caps w:val="false"/>
                <w:color w:val="92400E"/>
                <w:sz w:val="20"/>
                <w:szCs w:val="20"/>
              </w:rPr>
              <w:t xml:space="preserve">Pricing note:</w:t>
            </w:r>
          </w:p>
          <w:p>
            <w:pPr>
              <w:spacing w:after="0" w:before="60"/>
            </w:pPr>
            <w:r>
              <w:rPr>
                <w:rFonts w:ascii="Arial" w:cs="Arial" w:eastAsia="Arial" w:hAnsi="Arial"/>
                <w:b w:val="false"/>
                <w:bCs w:val="false"/>
                <w:i w:val="false"/>
                <w:iCs w:val="false"/>
                <w:caps w:val="false"/>
                <w:color w:val="92400E"/>
                <w:sz w:val="20"/>
                <w:szCs w:val="20"/>
              </w:rPr>
              <w:t xml:space="preserve">Specific price points will be set after the first 3–5 customer discovery conversations. Comparable tools in the market range from $3,000–$25,000 per year for independent practices. Pricing should anchor to liability reduction value, not feature count.</w:t>
            </w:r>
          </w:p>
        </w:tc>
      </w:tr>
    </w:tbl>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2.4  Revenue Projections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60"/>
        <w:gridCol w:w="300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Milestone</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Orgs</w:t>
            </w:r>
          </w:p>
        </w:tc>
        <w:tc>
          <w:tcPr>
            <w:tcW w:type="dxa" w:w="19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Avg ACV</w:t>
            </w:r>
          </w:p>
        </w:tc>
        <w:tc>
          <w:tcPr>
            <w:tcW w:type="dxa" w:w="3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ARR</w:t>
            </w:r>
          </w:p>
        </w:tc>
      </w:tr>
      <w:tr>
        <w:tc>
          <w:tcPr>
            <w:tcW w:type="dxa" w:w="28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End of Phase 1 (Month 3)</w:t>
            </w:r>
          </w:p>
        </w:tc>
        <w:tc>
          <w:tcPr>
            <w:tcW w:type="dxa" w:w="1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5 pilot orgs</w:t>
            </w:r>
          </w:p>
        </w:tc>
        <w:tc>
          <w:tcPr>
            <w:tcW w:type="dxa" w:w="19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$0 (pilot)</w:t>
            </w:r>
          </w:p>
        </w:tc>
        <w:tc>
          <w:tcPr>
            <w:tcW w:type="dxa" w:w="3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$0 — case study phase</w:t>
            </w:r>
          </w:p>
        </w:tc>
      </w:tr>
      <w:tr>
        <w:tc>
          <w:tcPr>
            <w:tcW w:type="dxa" w:w="28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End of Phase 2 (Month 9)</w:t>
            </w:r>
          </w:p>
        </w:tc>
        <w:tc>
          <w:tcPr>
            <w:tcW w:type="dxa" w:w="1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25 paid orgs</w:t>
            </w:r>
          </w:p>
        </w:tc>
        <w:tc>
          <w:tcPr>
            <w:tcW w:type="dxa" w:w="19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~$5,000</w:t>
            </w:r>
          </w:p>
        </w:tc>
        <w:tc>
          <w:tcPr>
            <w:tcW w:type="dxa" w:w="3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~$125,000 ARR</w:t>
            </w:r>
          </w:p>
        </w:tc>
      </w:tr>
      <w:tr>
        <w:tc>
          <w:tcPr>
            <w:tcW w:type="dxa" w:w="28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End of Phase 3 (Month 18)</w:t>
            </w:r>
          </w:p>
        </w:tc>
        <w:tc>
          <w:tcPr>
            <w:tcW w:type="dxa" w:w="1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100 paid orgs</w:t>
            </w:r>
          </w:p>
        </w:tc>
        <w:tc>
          <w:tcPr>
            <w:tcW w:type="dxa" w:w="19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~$8,000</w:t>
            </w:r>
          </w:p>
        </w:tc>
        <w:tc>
          <w:tcPr>
            <w:tcW w:type="dxa" w:w="3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~$800,000 ARR</w:t>
            </w:r>
          </w:p>
        </w:tc>
      </w:tr>
      <w:tr>
        <w:tc>
          <w:tcPr>
            <w:tcW w:type="dxa" w:w="28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Year 3 target</w:t>
            </w:r>
          </w:p>
        </w:tc>
        <w:tc>
          <w:tcPr>
            <w:tcW w:type="dxa" w:w="1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400+ orgs</w:t>
            </w:r>
          </w:p>
        </w:tc>
        <w:tc>
          <w:tcPr>
            <w:tcW w:type="dxa" w:w="19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~$10,000</w:t>
            </w:r>
          </w:p>
        </w:tc>
        <w:tc>
          <w:tcPr>
            <w:tcW w:type="dxa" w:w="3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~$4,000,000 ARR</w:t>
            </w:r>
          </w:p>
        </w:tc>
      </w:tr>
    </w:tbl>
    <w:p>
      <w:r>
        <w:br w:type="page"/>
      </w:r>
    </w:p>
    <w:p>
      <w:pPr>
        <w:pStyle w:val="Heading1"/>
        <w:pBdr>
          <w:bottom w:val="single" w:color="1A56DB" w:sz="6" w:space="6"/>
        </w:pBdr>
        <w:spacing w:after="160" w:before="480"/>
      </w:pPr>
      <w:r>
        <w:rPr>
          <w:rFonts w:ascii="Arial" w:cs="Arial" w:eastAsia="Arial" w:hAnsi="Arial"/>
          <w:b/>
          <w:bCs/>
          <w:i w:val="false"/>
          <w:iCs w:val="false"/>
          <w:caps w:val="false"/>
          <w:color w:val="1C2B4A"/>
          <w:sz w:val="34"/>
          <w:szCs w:val="34"/>
        </w:rPr>
        <w:t xml:space="preserve">3. Product &amp; Business Flow</w:t>
      </w:r>
    </w:p>
    <w:p>
      <w:pPr>
        <w:pStyle w:val="Heading2"/>
        <w:spacing w:after="120" w:before="320"/>
      </w:pPr>
      <w:r>
        <w:rPr>
          <w:rFonts w:ascii="Arial" w:cs="Arial" w:eastAsia="Arial" w:hAnsi="Arial"/>
          <w:b/>
          <w:bCs/>
          <w:i w:val="false"/>
          <w:iCs w:val="false"/>
          <w:caps w:val="false"/>
          <w:color w:val="0F3499"/>
          <w:sz w:val="26"/>
          <w:szCs w:val="26"/>
        </w:rPr>
        <w:t xml:space="preserve">3.1  How Dox2Dox Works — End to End</w:t>
      </w:r>
    </w:p>
    <w:p>
      <w:pPr>
        <w:spacing w:after="80" w:before="60"/>
        <w:jc w:val="left"/>
      </w:pPr>
      <w:r>
        <w:rPr>
          <w:rFonts w:ascii="Arial" w:cs="Arial" w:eastAsia="Arial" w:hAnsi="Arial"/>
          <w:b w:val="false"/>
          <w:bCs w:val="false"/>
          <w:i w:val="false"/>
          <w:iCs w:val="false"/>
          <w:caps w:val="false"/>
          <w:color w:val="1C2B4A"/>
          <w:sz w:val="22"/>
          <w:szCs w:val="22"/>
        </w:rPr>
        <w:t xml:space="preserve">The complete flow from first contact to active clinical use spans five stages:</w:t>
      </w:r>
    </w:p>
    <w:p>
      <w:pPr>
        <w:spacing w:after="0" w:before="8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Stage</w:t>
            </w:r>
          </w:p>
        </w:tc>
        <w:tc>
          <w:tcPr>
            <w:tcW w:type="dxa" w:w="5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What Happens</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Time</w:t>
            </w:r>
          </w:p>
        </w:tc>
      </w:tr>
      <w:tr>
        <w:tc>
          <w:tcPr>
            <w:tcW w:type="dxa" w:w="2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1. Sales pitch</w:t>
            </w:r>
          </w:p>
        </w:tc>
        <w:tc>
          <w:tcPr>
            <w:tcW w:type="dxa" w:w="53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Dr. Vimal meets with a practice owner. Demonstrates the app. Opens admin panel on laptop and verifies the organization on the spot.</w:t>
            </w:r>
          </w:p>
        </w:tc>
        <w:tc>
          <w:tcPr>
            <w:tcW w:type="dxa" w:w="18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Day 0</w:t>
            </w:r>
          </w:p>
        </w:tc>
      </w:tr>
      <w:tr>
        <w:tc>
          <w:tcPr>
            <w:tcW w:type="dxa" w:w="2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2. Org activation</w:t>
            </w:r>
          </w:p>
        </w:tc>
        <w:tc>
          <w:tcPr>
            <w:tcW w:type="dxa" w:w="53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Practice is approved in the Dox2Dox admin panel. The practice owner becomes the Org Admin and receives a unique invite code (e.g. APOL·4827).</w:t>
            </w:r>
          </w:p>
        </w:tc>
        <w:tc>
          <w:tcPr>
            <w:tcW w:type="dxa" w:w="18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Day 0 — same meeting</w:t>
            </w:r>
          </w:p>
        </w:tc>
      </w:tr>
      <w:tr>
        <w:tc>
          <w:tcPr>
            <w:tcW w:type="dxa" w:w="2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3. Doctor onboarding</w:t>
            </w:r>
          </w:p>
        </w:tc>
        <w:tc>
          <w:tcPr>
            <w:tcW w:type="dxa" w:w="53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Org Admin shares the invite code with colleagues via WhatsApp or email. Each doctor downloads the app, registers with their NPI number, and joins instantly.</w:t>
            </w:r>
          </w:p>
        </w:tc>
        <w:tc>
          <w:tcPr>
            <w:tcW w:type="dxa" w:w="18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Day 1–3</w:t>
            </w:r>
          </w:p>
        </w:tc>
      </w:tr>
      <w:tr>
        <w:tc>
          <w:tcPr>
            <w:tcW w:type="dxa" w:w="2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4. Clinical use begins</w:t>
            </w:r>
          </w:p>
        </w:tc>
        <w:tc>
          <w:tcPr>
            <w:tcW w:type="dxa" w:w="53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Doctors communicate via direct messages, group chats, and voice notes with auto-transcription. Files and images shared within encrypted threads.</w:t>
            </w:r>
          </w:p>
        </w:tc>
        <w:tc>
          <w:tcPr>
            <w:tcW w:type="dxa" w:w="18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Day 3 onwards</w:t>
            </w:r>
          </w:p>
        </w:tc>
      </w:tr>
      <w:tr>
        <w:tc>
          <w:tcPr>
            <w:tcW w:type="dxa" w:w="2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5. BAA signed &amp; billing</w:t>
            </w:r>
          </w:p>
        </w:tc>
        <w:tc>
          <w:tcPr>
            <w:tcW w:type="dxa" w:w="53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Business Associate Agreement signed digitally. Annual license invoice issued. Customer is fully activated.</w:t>
            </w:r>
          </w:p>
        </w:tc>
        <w:tc>
          <w:tcPr>
            <w:tcW w:type="dxa" w:w="18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Week 1–2</w:t>
            </w:r>
          </w:p>
        </w:tc>
      </w:tr>
    </w:tbl>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3.2  Organization Verification Model</w:t>
      </w:r>
    </w:p>
    <w:p>
      <w:pPr>
        <w:spacing w:after="80" w:before="60"/>
        <w:jc w:val="left"/>
      </w:pPr>
      <w:r>
        <w:rPr>
          <w:rFonts w:ascii="Arial" w:cs="Arial" w:eastAsia="Arial" w:hAnsi="Arial"/>
          <w:b w:val="false"/>
          <w:bCs w:val="false"/>
          <w:i w:val="false"/>
          <w:iCs w:val="false"/>
          <w:caps w:val="false"/>
          <w:color w:val="1C2B4A"/>
          <w:sz w:val="22"/>
          <w:szCs w:val="22"/>
        </w:rPr>
        <w:t xml:space="preserve">Every organization on Dox2Dox is manually verified before going live. This is a one-time process per organization — not per doctor. It is the trust foundation of the platform.</w:t>
      </w:r>
    </w:p>
    <w:p>
      <w:pPr>
        <w:spacing w:after="0" w:before="8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EF2F8" w:sz="1"/>
              <w:left w:val="single" w:color="1A56DB" w:sz="20"/>
              <w:bottom w:val="single" w:color="EEF2F8" w:sz="1"/>
              <w:right w:val="single" w:color="EEF2F8" w:sz="1"/>
            </w:tcBorders>
            <w:shd w:fill="EBF3FF" w:val="clear"/>
            <w:tcMar>
              <w:top w:type="dxa" w:w="120"/>
              <w:left w:type="dxa" w:w="220"/>
              <w:bottom w:type="dxa" w:w="120"/>
              <w:right w:type="dxa" w:w="180"/>
            </w:tcMar>
          </w:tcPr>
          <w:p>
            <w:pPr>
              <w:spacing w:after="0" w:before="0"/>
            </w:pPr>
            <w:r>
              <w:rPr>
                <w:rFonts w:ascii="Arial" w:cs="Arial" w:eastAsia="Arial" w:hAnsi="Arial"/>
                <w:b/>
                <w:bCs/>
                <w:i w:val="false"/>
                <w:iCs w:val="false"/>
                <w:caps w:val="false"/>
                <w:color w:val="0F3499"/>
                <w:sz w:val="20"/>
                <w:szCs w:val="20"/>
              </w:rPr>
              <w:t xml:space="preserve">Why manual verification matters:</w:t>
            </w:r>
          </w:p>
          <w:p>
            <w:pPr>
              <w:spacing w:after="0" w:before="60"/>
            </w:pPr>
            <w:r>
              <w:rPr>
                <w:rFonts w:ascii="Arial" w:cs="Arial" w:eastAsia="Arial" w:hAnsi="Arial"/>
                <w:b w:val="false"/>
                <w:bCs w:val="false"/>
                <w:i w:val="false"/>
                <w:iCs w:val="false"/>
                <w:caps w:val="false"/>
                <w:color w:val="0F3499"/>
                <w:sz w:val="20"/>
                <w:szCs w:val="20"/>
              </w:rPr>
              <w:t xml:space="preserve">Manual verification ensures no fraudulent or duplicate organizations exist on the platform. It also creates a natural sales gate — every verified org is a customer relationship, not an anonymous signup. In Phase 1, all verifications are done in-person at the pitch meeting, making the process instant and relationship-reinforcing.</w:t>
            </w:r>
          </w:p>
        </w:tc>
      </w:tr>
    </w:tbl>
    <w:p>
      <w:pPr>
        <w:spacing w:after="0" w:before="80"/>
      </w:pPr>
      <w:r>
        <w:rPr>
          <w:rFonts w:ascii="Arial" w:cs="Arial" w:eastAsia="Arial" w:hAnsi="Arial"/>
          <w:b w:val="false"/>
          <w:bCs w:val="false"/>
          <w:i w:val="false"/>
          <w:iCs w:val="false"/>
          <w:caps w:val="false"/>
          <w:color w:val="1C2B4A"/>
          <w:sz w:val="22"/>
          <w:szCs w:val="22"/>
        </w:rPr>
        <w:t xml:space="preserve"/>
      </w:r>
    </w:p>
    <w:p>
      <w:pPr>
        <w:spacing w:after="80" w:before="60"/>
        <w:jc w:val="left"/>
      </w:pPr>
      <w:r>
        <w:rPr>
          <w:rFonts w:ascii="Arial" w:cs="Arial" w:eastAsia="Arial" w:hAnsi="Arial"/>
          <w:b w:val="false"/>
          <w:bCs w:val="false"/>
          <w:i w:val="false"/>
          <w:iCs w:val="false"/>
          <w:caps w:val="false"/>
          <w:color w:val="1C2B4A"/>
          <w:sz w:val="22"/>
          <w:szCs w:val="22"/>
        </w:rPr>
        <w:t xml:space="preserve">Verification criteria (minimum bar):</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Practice website, Google Maps listing, or Zocdoc profile exists</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Doctor's NPI number verifiable via the public NPI Registry (nppes.cms.hhs.gov)</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Organization name matches the doctor's affiliated practice</w:t>
      </w:r>
    </w:p>
    <w:p>
      <w:pPr>
        <w:spacing w:after="0" w:before="80"/>
      </w:pPr>
      <w:r>
        <w:rPr>
          <w:rFonts w:ascii="Arial" w:cs="Arial" w:eastAsia="Arial" w:hAnsi="Arial"/>
          <w:b w:val="false"/>
          <w:bCs w:val="false"/>
          <w:i w:val="false"/>
          <w:iCs w:val="false"/>
          <w:caps w:val="false"/>
          <w:color w:val="1C2B4A"/>
          <w:sz w:val="22"/>
          <w:szCs w:val="22"/>
        </w:rPr>
        <w:t xml:space="preserve"/>
      </w:r>
    </w:p>
    <w:p>
      <w:pPr>
        <w:spacing w:after="80" w:before="60"/>
        <w:jc w:val="left"/>
      </w:pPr>
      <w:r>
        <w:rPr>
          <w:rFonts w:ascii="Arial" w:cs="Arial" w:eastAsia="Arial" w:hAnsi="Arial"/>
          <w:b w:val="false"/>
          <w:bCs w:val="false"/>
          <w:i w:val="false"/>
          <w:iCs w:val="false"/>
          <w:caps w:val="false"/>
          <w:color w:val="1C2B4A"/>
          <w:sz w:val="22"/>
          <w:szCs w:val="22"/>
        </w:rPr>
        <w:t xml:space="preserve">Verification is intentionally lightweight — no government registration numbers, no phone calls. This keeps the bar accessible for small independent practices with minimal digital footprint, which are our primary Phase 1 target.</w:t>
      </w:r>
    </w:p>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3.3  Core Product Flows</w:t>
      </w:r>
    </w:p>
    <w:p>
      <w:pPr>
        <w:pStyle w:val="Heading3"/>
        <w:spacing w:after="80" w:before="200"/>
      </w:pPr>
      <w:r>
        <w:rPr>
          <w:rFonts w:ascii="Arial" w:cs="Arial" w:eastAsia="Arial" w:hAnsi="Arial"/>
          <w:b/>
          <w:bCs/>
          <w:i w:val="false"/>
          <w:iCs w:val="false"/>
          <w:caps w:val="false"/>
          <w:color w:val="4A5E8C"/>
          <w:sz w:val="22"/>
          <w:szCs w:val="22"/>
        </w:rPr>
        <w:t xml:space="preserve">New Organization Flow</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Doctor registers with name, specialty, NPI, phone number</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Selects 'Create Organization' — enters org name, address, practice type</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Request enters Dox2Dox admin queue as 'Pending'</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Super Admin approves in admin panel — typically in-person at pitch</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Org activates — doctor becomes Org Admin, receives invite code</w:t>
      </w:r>
    </w:p>
    <w:p>
      <w:pPr>
        <w:spacing w:after="0" w:before="80"/>
      </w:pPr>
      <w:r>
        <w:rPr>
          <w:rFonts w:ascii="Arial" w:cs="Arial" w:eastAsia="Arial" w:hAnsi="Arial"/>
          <w:b w:val="false"/>
          <w:bCs w:val="false"/>
          <w:i w:val="false"/>
          <w:iCs w:val="false"/>
          <w:caps w:val="false"/>
          <w:color w:val="1C2B4A"/>
          <w:sz w:val="22"/>
          <w:szCs w:val="22"/>
        </w:rPr>
        <w:t xml:space="preserve"/>
      </w:r>
    </w:p>
    <w:p>
      <w:pPr>
        <w:pStyle w:val="Heading3"/>
        <w:spacing w:after="80" w:before="200"/>
      </w:pPr>
      <w:r>
        <w:rPr>
          <w:rFonts w:ascii="Arial" w:cs="Arial" w:eastAsia="Arial" w:hAnsi="Arial"/>
          <w:b/>
          <w:bCs/>
          <w:i w:val="false"/>
          <w:iCs w:val="false"/>
          <w:caps w:val="false"/>
          <w:color w:val="4A5E8C"/>
          <w:sz w:val="22"/>
          <w:szCs w:val="22"/>
        </w:rPr>
        <w:t xml:space="preserve">Doctor Joining Flow</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Doctor downloads app, registers with NPI and phone</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Selects 'Join with Invite Code' — pastes code (format: XXXX·0000)</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Validated instantly — joins org, lands on chat screen</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Can message any org member immediately</w:t>
      </w:r>
    </w:p>
    <w:p>
      <w:pPr>
        <w:spacing w:after="0" w:before="80"/>
      </w:pPr>
      <w:r>
        <w:rPr>
          <w:rFonts w:ascii="Arial" w:cs="Arial" w:eastAsia="Arial" w:hAnsi="Arial"/>
          <w:b w:val="false"/>
          <w:bCs w:val="false"/>
          <w:i w:val="false"/>
          <w:iCs w:val="false"/>
          <w:caps w:val="false"/>
          <w:color w:val="1C2B4A"/>
          <w:sz w:val="22"/>
          <w:szCs w:val="22"/>
        </w:rPr>
        <w:t xml:space="preserve"/>
      </w:r>
    </w:p>
    <w:p>
      <w:pPr>
        <w:pStyle w:val="Heading3"/>
        <w:spacing w:after="80" w:before="200"/>
      </w:pPr>
      <w:r>
        <w:rPr>
          <w:rFonts w:ascii="Arial" w:cs="Arial" w:eastAsia="Arial" w:hAnsi="Arial"/>
          <w:b/>
          <w:bCs/>
          <w:i w:val="false"/>
          <w:iCs w:val="false"/>
          <w:caps w:val="false"/>
          <w:color w:val="4A5E8C"/>
          <w:sz w:val="22"/>
          <w:szCs w:val="22"/>
        </w:rPr>
        <w:t xml:space="preserve">Messaging Flow</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Direct message: one-to-one between any two org members</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Group chat: any doctor creates a free-form group, adds org members</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Voice note: hold microphone button to record, release to send — auto-transcription generated</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File sharing: images, PDFs, ECGs attached directly in thread</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Disappearing messages: per-conversation timer — off / 24 hours / 7 days</w:t>
      </w:r>
    </w:p>
    <w:p>
      <w:r>
        <w:br w:type="page"/>
      </w:r>
    </w:p>
    <w:p>
      <w:pPr>
        <w:pStyle w:val="Heading1"/>
        <w:pBdr>
          <w:bottom w:val="single" w:color="1A56DB" w:sz="6" w:space="6"/>
        </w:pBdr>
        <w:spacing w:after="160" w:before="480"/>
      </w:pPr>
      <w:r>
        <w:rPr>
          <w:rFonts w:ascii="Arial" w:cs="Arial" w:eastAsia="Arial" w:hAnsi="Arial"/>
          <w:b/>
          <w:bCs/>
          <w:i w:val="false"/>
          <w:iCs w:val="false"/>
          <w:caps w:val="false"/>
          <w:color w:val="1C2B4A"/>
          <w:sz w:val="34"/>
          <w:szCs w:val="34"/>
        </w:rPr>
        <w:t xml:space="preserve">4. Compliance &amp; Legal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EF2F8" w:sz="1"/>
              <w:left w:val="single" w:color="F59E0B" w:sz="20"/>
              <w:bottom w:val="single" w:color="EEF2F8" w:sz="1"/>
              <w:right w:val="single" w:color="EEF2F8" w:sz="1"/>
            </w:tcBorders>
            <w:shd w:fill="FEF3C7" w:val="clear"/>
            <w:tcMar>
              <w:top w:type="dxa" w:w="120"/>
              <w:left w:type="dxa" w:w="220"/>
              <w:bottom w:type="dxa" w:w="120"/>
              <w:right w:type="dxa" w:w="180"/>
            </w:tcMar>
          </w:tcPr>
          <w:p>
            <w:pPr>
              <w:spacing w:after="0" w:before="0"/>
            </w:pPr>
            <w:r>
              <w:rPr>
                <w:rFonts w:ascii="Arial" w:cs="Arial" w:eastAsia="Arial" w:hAnsi="Arial"/>
                <w:b/>
                <w:bCs/>
                <w:i w:val="false"/>
                <w:iCs w:val="false"/>
                <w:caps w:val="false"/>
                <w:color w:val="92400E"/>
                <w:sz w:val="20"/>
                <w:szCs w:val="20"/>
              </w:rPr>
              <w:t xml:space="preserve">Non-negotiable for US market entry:</w:t>
            </w:r>
          </w:p>
          <w:p>
            <w:pPr>
              <w:spacing w:after="0" w:before="60"/>
            </w:pPr>
            <w:r>
              <w:rPr>
                <w:rFonts w:ascii="Arial" w:cs="Arial" w:eastAsia="Arial" w:hAnsi="Arial"/>
                <w:b w:val="false"/>
                <w:bCs w:val="false"/>
                <w:i w:val="false"/>
                <w:iCs w:val="false"/>
                <w:caps w:val="false"/>
                <w:color w:val="92400E"/>
                <w:sz w:val="20"/>
                <w:szCs w:val="20"/>
              </w:rPr>
              <w:t xml:space="preserve">No US hospital, independent practice, or physician group will sign a contract for a clinical communication tool without HIPAA compliance and a signed Business Associate Agreement. This is US federal law — not a preference. Compliance is treated as a pre-launch requirement.</w:t>
            </w:r>
          </w:p>
        </w:tc>
      </w:tr>
    </w:tbl>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4.1  HIPAA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Requirement</w:t>
            </w:r>
          </w:p>
        </w:tc>
        <w:tc>
          <w:tcPr>
            <w:tcW w:type="dxa" w:w="4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What It Means</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Status</w:t>
            </w:r>
          </w:p>
        </w:tc>
      </w:tr>
      <w:tr>
        <w:tc>
          <w:tcPr>
            <w:tcW w:type="dxa" w:w="2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End-to-end encryption</w:t>
            </w:r>
          </w:p>
        </w:tc>
        <w:tc>
          <w:tcPr>
            <w:tcW w:type="dxa" w:w="4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All messages encrypted in transit (TLS 1.3) and at rest (AES-256)</w:t>
            </w:r>
          </w:p>
        </w:tc>
        <w:tc>
          <w:tcPr>
            <w:tcW w:type="dxa" w:w="2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Built into MVP</w:t>
            </w:r>
          </w:p>
        </w:tc>
      </w:tr>
      <w:tr>
        <w:tc>
          <w:tcPr>
            <w:tcW w:type="dxa" w:w="2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Unique user authentication</w:t>
            </w:r>
          </w:p>
        </w:tc>
        <w:tc>
          <w:tcPr>
            <w:tcW w:type="dxa" w:w="4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Phone number + OTP verification. NPI number tied to every account</w:t>
            </w:r>
          </w:p>
        </w:tc>
        <w:tc>
          <w:tcPr>
            <w:tcW w:type="dxa" w:w="2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Built into MVP</w:t>
            </w:r>
          </w:p>
        </w:tc>
      </w:tr>
      <w:tr>
        <w:tc>
          <w:tcPr>
            <w:tcW w:type="dxa" w:w="2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Automatic session timeout</w:t>
            </w:r>
          </w:p>
        </w:tc>
        <w:tc>
          <w:tcPr>
            <w:tcW w:type="dxa" w:w="4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User logged out after period of inactivity</w:t>
            </w:r>
          </w:p>
        </w:tc>
        <w:tc>
          <w:tcPr>
            <w:tcW w:type="dxa" w:w="2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Built into MVP</w:t>
            </w:r>
          </w:p>
        </w:tc>
      </w:tr>
      <w:tr>
        <w:tc>
          <w:tcPr>
            <w:tcW w:type="dxa" w:w="2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Audit logging</w:t>
            </w:r>
          </w:p>
        </w:tc>
        <w:tc>
          <w:tcPr>
            <w:tcW w:type="dxa" w:w="4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Every message access, login, and data event logged with user ID and timestamp</w:t>
            </w:r>
          </w:p>
        </w:tc>
        <w:tc>
          <w:tcPr>
            <w:tcW w:type="dxa" w:w="2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Pre-launch</w:t>
            </w:r>
          </w:p>
        </w:tc>
      </w:tr>
      <w:tr>
        <w:tc>
          <w:tcPr>
            <w:tcW w:type="dxa" w:w="2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Data residency</w:t>
            </w:r>
          </w:p>
        </w:tc>
        <w:tc>
          <w:tcPr>
            <w:tcW w:type="dxa" w:w="4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All PHI stored exclusively on AWS US-East / US-West regions</w:t>
            </w:r>
          </w:p>
        </w:tc>
        <w:tc>
          <w:tcPr>
            <w:tcW w:type="dxa" w:w="2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Pre-launch</w:t>
            </w:r>
          </w:p>
        </w:tc>
      </w:tr>
      <w:tr>
        <w:tc>
          <w:tcPr>
            <w:tcW w:type="dxa" w:w="2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Encrypted backups</w:t>
            </w:r>
          </w:p>
        </w:tc>
        <w:tc>
          <w:tcPr>
            <w:tcW w:type="dxa" w:w="4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Regular encrypted backups with defined recovery time objectives</w:t>
            </w:r>
          </w:p>
        </w:tc>
        <w:tc>
          <w:tcPr>
            <w:tcW w:type="dxa" w:w="2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Pre-launch</w:t>
            </w:r>
          </w:p>
        </w:tc>
      </w:tr>
      <w:tr>
        <w:tc>
          <w:tcPr>
            <w:tcW w:type="dxa" w:w="2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Business Associate Agreement</w:t>
            </w:r>
          </w:p>
        </w:tc>
        <w:tc>
          <w:tcPr>
            <w:tcW w:type="dxa" w:w="4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Legal contract signed with every customer org before activation</w:t>
            </w:r>
          </w:p>
        </w:tc>
        <w:tc>
          <w:tcPr>
            <w:tcW w:type="dxa" w:w="2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Pre-launch</w:t>
            </w:r>
          </w:p>
        </w:tc>
      </w:tr>
      <w:tr>
        <w:tc>
          <w:tcPr>
            <w:tcW w:type="dxa" w:w="2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Disappearing messages</w:t>
            </w:r>
          </w:p>
        </w:tc>
        <w:tc>
          <w:tcPr>
            <w:tcW w:type="dxa" w:w="4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Doctor-controlled message retention — reduces PHI persistence risk</w:t>
            </w:r>
          </w:p>
        </w:tc>
        <w:tc>
          <w:tcPr>
            <w:tcW w:type="dxa" w:w="2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Built into MVP</w:t>
            </w:r>
          </w:p>
        </w:tc>
      </w:tr>
    </w:tbl>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4.2  Business Associate Agreement (BAA)</w:t>
      </w:r>
    </w:p>
    <w:p>
      <w:pPr>
        <w:spacing w:after="80" w:before="60"/>
        <w:jc w:val="left"/>
      </w:pPr>
      <w:r>
        <w:rPr>
          <w:rFonts w:ascii="Arial" w:cs="Arial" w:eastAsia="Arial" w:hAnsi="Arial"/>
          <w:b w:val="false"/>
          <w:bCs w:val="false"/>
          <w:i w:val="false"/>
          <w:iCs w:val="false"/>
          <w:caps w:val="false"/>
          <w:color w:val="1C2B4A"/>
          <w:sz w:val="22"/>
          <w:szCs w:val="22"/>
        </w:rPr>
        <w:t xml:space="preserve">A BAA is a US federal requirement under HIPAA. It is a legal contract between Dox2Dox (as a business associate handling PHI) and each customer organization (as a covered entity). It must be signed before any customer goes live on the platform.</w:t>
      </w:r>
    </w:p>
    <w:p>
      <w:pPr>
        <w:spacing w:after="0" w:before="80"/>
      </w:pPr>
      <w:r>
        <w:rPr>
          <w:rFonts w:ascii="Arial" w:cs="Arial" w:eastAsia="Arial" w:hAnsi="Arial"/>
          <w:b w:val="false"/>
          <w:bCs w:val="false"/>
          <w:i w:val="false"/>
          <w:iCs w:val="false"/>
          <w:caps w:val="false"/>
          <w:color w:val="1C2B4A"/>
          <w:sz w:val="22"/>
          <w:szCs w:val="22"/>
        </w:rPr>
        <w:t xml:space="preserve"/>
      </w:r>
    </w:p>
    <w:p>
      <w:pPr>
        <w:spacing w:after="80" w:before="60"/>
        <w:jc w:val="left"/>
      </w:pPr>
      <w:r>
        <w:rPr>
          <w:rFonts w:ascii="Arial" w:cs="Arial" w:eastAsia="Arial" w:hAnsi="Arial"/>
          <w:b w:val="false"/>
          <w:bCs w:val="false"/>
          <w:i w:val="false"/>
          <w:iCs w:val="false"/>
          <w:caps w:val="false"/>
          <w:color w:val="1C2B4A"/>
          <w:sz w:val="22"/>
          <w:szCs w:val="22"/>
        </w:rPr>
        <w:t xml:space="preserve">Action required:</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Engage a US healthcare attorney to draft a standard BAA template — one-time cost, reusable for all customers</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Estimated cost: $2,000–$5,000 for initial draft</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BAA signed digitally via DocuSign or equivalent before org activation</w:t>
      </w:r>
    </w:p>
    <w:p>
      <w:pPr>
        <w:pStyle w:val="ListParagraph"/>
        <w:numPr>
          <w:ilvl w:val="0"/>
          <w:numId w:val="2"/>
        </w:numPr>
        <w:spacing w:after="40" w:before="40"/>
      </w:pPr>
      <w:r>
        <w:rPr>
          <w:rFonts w:ascii="Arial" w:cs="Arial" w:eastAsia="Arial" w:hAnsi="Arial"/>
          <w:b w:val="false"/>
          <w:bCs w:val="false"/>
          <w:i w:val="false"/>
          <w:iCs w:val="false"/>
          <w:caps w:val="false"/>
          <w:color w:val="1C2B4A"/>
          <w:sz w:val="22"/>
          <w:szCs w:val="22"/>
        </w:rPr>
        <w:t xml:space="preserve">This is the single most critical non-product action item before first external customer</w:t>
      </w:r>
    </w:p>
    <w:p>
      <w:pPr>
        <w:spacing w:after="0" w:before="8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EF2F8" w:sz="1"/>
              <w:left w:val="single" w:color="EF4444" w:sz="20"/>
              <w:bottom w:val="single" w:color="EEF2F8" w:sz="1"/>
              <w:right w:val="single" w:color="EEF2F8" w:sz="1"/>
            </w:tcBorders>
            <w:shd w:fill="FEF2F2" w:val="clear"/>
            <w:tcMar>
              <w:top w:type="dxa" w:w="120"/>
              <w:left w:type="dxa" w:w="220"/>
              <w:bottom w:type="dxa" w:w="120"/>
              <w:right w:type="dxa" w:w="180"/>
            </w:tcMar>
          </w:tcPr>
          <w:p>
            <w:pPr>
              <w:spacing w:after="0" w:before="0"/>
            </w:pPr>
            <w:r>
              <w:rPr>
                <w:rFonts w:ascii="Arial" w:cs="Arial" w:eastAsia="Arial" w:hAnsi="Arial"/>
                <w:b/>
                <w:bCs/>
                <w:i w:val="false"/>
                <w:iCs w:val="false"/>
                <w:caps w:val="false"/>
                <w:color w:val="991B1B"/>
                <w:sz w:val="20"/>
                <w:szCs w:val="20"/>
              </w:rPr>
              <w:t xml:space="preserve">Immediate action item — BAA before first pitch:</w:t>
            </w:r>
          </w:p>
          <w:p>
            <w:pPr>
              <w:spacing w:after="0" w:before="60"/>
            </w:pPr>
            <w:r>
              <w:rPr>
                <w:rFonts w:ascii="Arial" w:cs="Arial" w:eastAsia="Arial" w:hAnsi="Arial"/>
                <w:b w:val="false"/>
                <w:bCs w:val="false"/>
                <w:i w:val="false"/>
                <w:iCs w:val="false"/>
                <w:caps w:val="false"/>
                <w:color w:val="991B1B"/>
                <w:sz w:val="20"/>
                <w:szCs w:val="20"/>
              </w:rPr>
              <w:t xml:space="preserve">Dr. Vimal and DJ must engage a US healthcare attorney before any external customer meeting. Without a BAA ready to sign, a practice administrator or their counsel will reject the deal on the spot. This is not bureaucracy — it is the literal legal foundation of the business.</w:t>
            </w:r>
          </w:p>
        </w:tc>
      </w:tr>
    </w:tbl>
    <w:p>
      <w:r>
        <w:br w:type="page"/>
      </w:r>
    </w:p>
    <w:p>
      <w:pPr>
        <w:pStyle w:val="Heading1"/>
        <w:pBdr>
          <w:bottom w:val="single" w:color="1A56DB" w:sz="6" w:space="6"/>
        </w:pBdr>
        <w:spacing w:after="160" w:before="480"/>
      </w:pPr>
      <w:r>
        <w:rPr>
          <w:rFonts w:ascii="Arial" w:cs="Arial" w:eastAsia="Arial" w:hAnsi="Arial"/>
          <w:b/>
          <w:bCs/>
          <w:i w:val="false"/>
          <w:iCs w:val="false"/>
          <w:caps w:val="false"/>
          <w:color w:val="1C2B4A"/>
          <w:sz w:val="34"/>
          <w:szCs w:val="34"/>
        </w:rPr>
        <w:t xml:space="preserve">5. Technical Architecture</w:t>
      </w:r>
    </w:p>
    <w:p>
      <w:pPr>
        <w:pStyle w:val="Heading2"/>
        <w:spacing w:after="120" w:before="320"/>
      </w:pPr>
      <w:r>
        <w:rPr>
          <w:rFonts w:ascii="Arial" w:cs="Arial" w:eastAsia="Arial" w:hAnsi="Arial"/>
          <w:b/>
          <w:bCs/>
          <w:i w:val="false"/>
          <w:iCs w:val="false"/>
          <w:caps w:val="false"/>
          <w:color w:val="0F3499"/>
          <w:sz w:val="26"/>
          <w:szCs w:val="26"/>
        </w:rPr>
        <w:t xml:space="preserve">5.1  Platform Overview</w:t>
      </w:r>
    </w:p>
    <w:p>
      <w:pPr>
        <w:spacing w:after="80" w:before="60"/>
        <w:jc w:val="left"/>
      </w:pPr>
      <w:r>
        <w:rPr>
          <w:rFonts w:ascii="Arial" w:cs="Arial" w:eastAsia="Arial" w:hAnsi="Arial"/>
          <w:b w:val="false"/>
          <w:bCs w:val="false"/>
          <w:i w:val="false"/>
          <w:iCs w:val="false"/>
          <w:caps w:val="false"/>
          <w:color w:val="1C2B4A"/>
          <w:sz w:val="22"/>
          <w:szCs w:val="22"/>
        </w:rPr>
        <w:t xml:space="preserve">Dox2Dox is a mobile-first platform with a Flutter front end and a cloud-native backend. The architecture is designed for low latency real-time messaging, HIPAA-compliant data handling, and horizontal scalability as the customer base grows.</w:t>
      </w:r>
    </w:p>
    <w:p>
      <w:pPr>
        <w:spacing w:after="0" w:before="8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Layer</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Technology</w:t>
            </w:r>
          </w:p>
        </w:tc>
        <w:tc>
          <w:tcPr>
            <w:tcW w:type="dxa" w:w="49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Rationale</w:t>
            </w:r>
          </w:p>
        </w:tc>
      </w:tr>
      <w:tr>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Mobile app</w:t>
            </w:r>
          </w:p>
        </w:tc>
        <w:tc>
          <w:tcPr>
            <w:tcW w:type="dxa" w:w="2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Flutter (iOS + Android)</w:t>
            </w:r>
          </w:p>
        </w:tc>
        <w:tc>
          <w:tcPr>
            <w:tcW w:type="dxa" w:w="49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Single codebase for both platforms. High performance. Strong ecosystem for real-time apps.</w:t>
            </w:r>
          </w:p>
        </w:tc>
      </w:tr>
      <w:tr>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Backend API</w:t>
            </w:r>
          </w:p>
        </w:tc>
        <w:tc>
          <w:tcPr>
            <w:tcW w:type="dxa" w:w="2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Node.js / Go (to be confirmed)</w:t>
            </w:r>
          </w:p>
        </w:tc>
        <w:tc>
          <w:tcPr>
            <w:tcW w:type="dxa" w:w="49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Low-latency REST + WebSocket API. Stateless, horizontally scalable.</w:t>
            </w:r>
          </w:p>
        </w:tc>
      </w:tr>
      <w:tr>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Real-time messaging</w:t>
            </w:r>
          </w:p>
        </w:tc>
        <w:tc>
          <w:tcPr>
            <w:tcW w:type="dxa" w:w="2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WebSockets</w:t>
            </w:r>
          </w:p>
        </w:tc>
        <w:tc>
          <w:tcPr>
            <w:tcW w:type="dxa" w:w="49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Persistent connection for instant message delivery and presence updates.</w:t>
            </w:r>
          </w:p>
        </w:tc>
      </w:tr>
      <w:tr>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Database</w:t>
            </w:r>
          </w:p>
        </w:tc>
        <w:tc>
          <w:tcPr>
            <w:tcW w:type="dxa" w:w="2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PostgreSQL (primary)</w:t>
            </w:r>
          </w:p>
        </w:tc>
        <w:tc>
          <w:tcPr>
            <w:tcW w:type="dxa" w:w="49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Relational model for orgs, users, messages. ACID compliance for audit trail integrity.</w:t>
            </w:r>
          </w:p>
        </w:tc>
      </w:tr>
      <w:tr>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File storage</w:t>
            </w:r>
          </w:p>
        </w:tc>
        <w:tc>
          <w:tcPr>
            <w:tcW w:type="dxa" w:w="2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AWS S3 (US regions only)</w:t>
            </w:r>
          </w:p>
        </w:tc>
        <w:tc>
          <w:tcPr>
            <w:tcW w:type="dxa" w:w="49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Encrypted file storage for attachments and voice notes. PHI never leaves US territory.</w:t>
            </w:r>
          </w:p>
        </w:tc>
      </w:tr>
      <w:tr>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Voice transcription</w:t>
            </w:r>
          </w:p>
        </w:tc>
        <w:tc>
          <w:tcPr>
            <w:tcW w:type="dxa" w:w="2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AWS Transcribe Medical</w:t>
            </w:r>
          </w:p>
        </w:tc>
        <w:tc>
          <w:tcPr>
            <w:tcW w:type="dxa" w:w="49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HIPAA-eligible medical speech-to-text. Auto-generates transcript for every voice note.</w:t>
            </w:r>
          </w:p>
        </w:tc>
      </w:tr>
      <w:tr>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Authentication</w:t>
            </w:r>
          </w:p>
        </w:tc>
        <w:tc>
          <w:tcPr>
            <w:tcW w:type="dxa" w:w="2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Phone OTP + JWT tokens</w:t>
            </w:r>
          </w:p>
        </w:tc>
        <w:tc>
          <w:tcPr>
            <w:tcW w:type="dxa" w:w="49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Passwordless. NPI number tied to every account for physician identity verification.</w:t>
            </w:r>
          </w:p>
        </w:tc>
      </w:tr>
      <w:tr>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Encryption</w:t>
            </w:r>
          </w:p>
        </w:tc>
        <w:tc>
          <w:tcPr>
            <w:tcW w:type="dxa" w:w="2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TLS 1.3 (transit) + AES-256 (rest)</w:t>
            </w:r>
          </w:p>
        </w:tc>
        <w:tc>
          <w:tcPr>
            <w:tcW w:type="dxa" w:w="49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Industry standard. HIPAA-compliant. Applied to all message content and file attachments.</w:t>
            </w:r>
          </w:p>
        </w:tc>
      </w:tr>
      <w:tr>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Infrastructure</w:t>
            </w:r>
          </w:p>
        </w:tc>
        <w:tc>
          <w:tcPr>
            <w:tcW w:type="dxa" w:w="2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AWS (US-East-1 primary)</w:t>
            </w:r>
          </w:p>
        </w:tc>
        <w:tc>
          <w:tcPr>
            <w:tcW w:type="dxa" w:w="49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HIPAA-eligible infrastructure. BAA available from AWS. US data residency guaranteed.</w:t>
            </w:r>
          </w:p>
        </w:tc>
      </w:tr>
      <w:tr>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Admin panel</w:t>
            </w:r>
          </w:p>
        </w:tc>
        <w:tc>
          <w:tcPr>
            <w:tcW w:type="dxa" w:w="2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React web app</w:t>
            </w:r>
          </w:p>
        </w:tc>
        <w:tc>
          <w:tcPr>
            <w:tcW w:type="dxa" w:w="49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Internal tool for org verification and platform management. Not customer-facing.</w:t>
            </w:r>
          </w:p>
        </w:tc>
      </w:tr>
    </w:tbl>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5.2  Key Technical Decisions</w:t>
      </w:r>
    </w:p>
    <w:p>
      <w:pPr>
        <w:pStyle w:val="Heading3"/>
        <w:spacing w:after="80" w:before="200"/>
      </w:pPr>
      <w:r>
        <w:rPr>
          <w:rFonts w:ascii="Arial" w:cs="Arial" w:eastAsia="Arial" w:hAnsi="Arial"/>
          <w:b/>
          <w:bCs/>
          <w:i w:val="false"/>
          <w:iCs w:val="false"/>
          <w:caps w:val="false"/>
          <w:color w:val="4A5E8C"/>
          <w:sz w:val="22"/>
          <w:szCs w:val="22"/>
        </w:rPr>
        <w:t xml:space="preserve">Voice Note Transcription — Core Differentiator</w:t>
      </w:r>
    </w:p>
    <w:p>
      <w:pPr>
        <w:spacing w:after="80" w:before="60"/>
        <w:jc w:val="left"/>
      </w:pPr>
      <w:r>
        <w:rPr>
          <w:rFonts w:ascii="Arial" w:cs="Arial" w:eastAsia="Arial" w:hAnsi="Arial"/>
          <w:b w:val="false"/>
          <w:bCs w:val="false"/>
          <w:i w:val="false"/>
          <w:iCs w:val="false"/>
          <w:caps w:val="false"/>
          <w:color w:val="1C2B4A"/>
          <w:sz w:val="22"/>
          <w:szCs w:val="22"/>
        </w:rPr>
        <w:t xml:space="preserve">Every voice note sent on Dox2Dox is automatically transcribed using AWS Transcribe Medical, a HIPAA-eligible service trained on clinical vocabulary. The transcript is displayed directly beneath the audio waveform in the chat bubble. Doctors can read the clinical content without playing the audio — critical in noisy ORs, ICUs, and clinical environments where audio is impractical.</w:t>
      </w:r>
    </w:p>
    <w:p>
      <w:pPr>
        <w:spacing w:after="0" w:before="80"/>
      </w:pPr>
      <w:r>
        <w:rPr>
          <w:rFonts w:ascii="Arial" w:cs="Arial" w:eastAsia="Arial" w:hAnsi="Arial"/>
          <w:b w:val="false"/>
          <w:bCs w:val="false"/>
          <w:i w:val="false"/>
          <w:iCs w:val="false"/>
          <w:caps w:val="false"/>
          <w:color w:val="1C2B4A"/>
          <w:sz w:val="22"/>
          <w:szCs w:val="22"/>
        </w:rPr>
        <w:t xml:space="preserve"/>
      </w:r>
    </w:p>
    <w:p>
      <w:pPr>
        <w:spacing w:after="80" w:before="60"/>
        <w:jc w:val="left"/>
      </w:pPr>
      <w:r>
        <w:rPr>
          <w:rFonts w:ascii="Arial" w:cs="Arial" w:eastAsia="Arial" w:hAnsi="Arial"/>
          <w:b w:val="false"/>
          <w:bCs w:val="false"/>
          <w:i w:val="false"/>
          <w:iCs w:val="false"/>
          <w:caps w:val="false"/>
          <w:color w:val="1C2B4A"/>
          <w:sz w:val="22"/>
          <w:szCs w:val="22"/>
        </w:rPr>
        <w:t xml:space="preserve">This single feature is the primary product differentiator vs. WhatsApp and iMessage in a clinical context. It turns a voice note from a media file into searchable, readable clinical content.</w:t>
      </w:r>
    </w:p>
    <w:p>
      <w:pPr>
        <w:spacing w:after="0" w:before="80"/>
      </w:pPr>
      <w:r>
        <w:rPr>
          <w:rFonts w:ascii="Arial" w:cs="Arial" w:eastAsia="Arial" w:hAnsi="Arial"/>
          <w:b w:val="false"/>
          <w:bCs w:val="false"/>
          <w:i w:val="false"/>
          <w:iCs w:val="false"/>
          <w:caps w:val="false"/>
          <w:color w:val="1C2B4A"/>
          <w:sz w:val="22"/>
          <w:szCs w:val="22"/>
        </w:rPr>
        <w:t xml:space="preserve"/>
      </w:r>
    </w:p>
    <w:p>
      <w:pPr>
        <w:pStyle w:val="Heading3"/>
        <w:spacing w:after="80" w:before="200"/>
      </w:pPr>
      <w:r>
        <w:rPr>
          <w:rFonts w:ascii="Arial" w:cs="Arial" w:eastAsia="Arial" w:hAnsi="Arial"/>
          <w:b/>
          <w:bCs/>
          <w:i w:val="false"/>
          <w:iCs w:val="false"/>
          <w:caps w:val="false"/>
          <w:color w:val="4A5E8C"/>
          <w:sz w:val="22"/>
          <w:szCs w:val="22"/>
        </w:rPr>
        <w:t xml:space="preserve">Organization-Scoped Messaging</w:t>
      </w:r>
    </w:p>
    <w:p>
      <w:pPr>
        <w:spacing w:after="80" w:before="60"/>
        <w:jc w:val="left"/>
      </w:pPr>
      <w:r>
        <w:rPr>
          <w:rFonts w:ascii="Arial" w:cs="Arial" w:eastAsia="Arial" w:hAnsi="Arial"/>
          <w:b w:val="false"/>
          <w:bCs w:val="false"/>
          <w:i w:val="false"/>
          <w:iCs w:val="false"/>
          <w:caps w:val="false"/>
          <w:color w:val="1C2B4A"/>
          <w:sz w:val="22"/>
          <w:szCs w:val="22"/>
        </w:rPr>
        <w:t xml:space="preserve">All messaging is scoped to a verified organization. A doctor cannot message anyone outside their org in Phase 1. This is a deliberate trust and compliance boundary — it ensures all communication on the platform is between verified, credentialed physicians within a known clinical relationship. Cross-org messaging is a Phase 3 roadmap item, requiring additional verification logic.</w:t>
      </w:r>
    </w:p>
    <w:p>
      <w:pPr>
        <w:spacing w:after="0" w:before="80"/>
      </w:pPr>
      <w:r>
        <w:rPr>
          <w:rFonts w:ascii="Arial" w:cs="Arial" w:eastAsia="Arial" w:hAnsi="Arial"/>
          <w:b w:val="false"/>
          <w:bCs w:val="false"/>
          <w:i w:val="false"/>
          <w:iCs w:val="false"/>
          <w:caps w:val="false"/>
          <w:color w:val="1C2B4A"/>
          <w:sz w:val="22"/>
          <w:szCs w:val="22"/>
        </w:rPr>
        <w:t xml:space="preserve"/>
      </w:r>
    </w:p>
    <w:p>
      <w:pPr>
        <w:pStyle w:val="Heading3"/>
        <w:spacing w:after="80" w:before="200"/>
      </w:pPr>
      <w:r>
        <w:rPr>
          <w:rFonts w:ascii="Arial" w:cs="Arial" w:eastAsia="Arial" w:hAnsi="Arial"/>
          <w:b/>
          <w:bCs/>
          <w:i w:val="false"/>
          <w:iCs w:val="false"/>
          <w:caps w:val="false"/>
          <w:color w:val="4A5E8C"/>
          <w:sz w:val="22"/>
          <w:szCs w:val="22"/>
        </w:rPr>
        <w:t xml:space="preserve">NPI-Tied Identity</w:t>
      </w:r>
    </w:p>
    <w:p>
      <w:pPr>
        <w:spacing w:after="80" w:before="60"/>
        <w:jc w:val="left"/>
      </w:pPr>
      <w:r>
        <w:rPr>
          <w:rFonts w:ascii="Arial" w:cs="Arial" w:eastAsia="Arial" w:hAnsi="Arial"/>
          <w:b w:val="false"/>
          <w:bCs w:val="false"/>
          <w:i w:val="false"/>
          <w:iCs w:val="false"/>
          <w:caps w:val="false"/>
          <w:color w:val="1C2B4A"/>
          <w:sz w:val="22"/>
          <w:szCs w:val="22"/>
        </w:rPr>
        <w:t xml:space="preserve">Every doctor account on Dox2Dox is tied to a National Provider Identifier (NPI) number — a unique 10-digit identifier issued by the US Centers for Medicare &amp; Medicaid Services to every licensed US physician. NPI verification creates a strong physician identity layer that consumer apps cannot replicate. It is also the foundation for future EMR integration.</w:t>
      </w:r>
    </w:p>
    <w:p>
      <w:pPr>
        <w:spacing w:after="0" w:before="120"/>
      </w:pPr>
      <w:r>
        <w:rPr>
          <w:rFonts w:ascii="Arial" w:cs="Arial" w:eastAsia="Arial" w:hAnsi="Arial"/>
          <w:b w:val="false"/>
          <w:bCs w:val="false"/>
          <w:i w:val="false"/>
          <w:iCs w:val="false"/>
          <w:caps w:val="false"/>
          <w:color w:val="1C2B4A"/>
          <w:sz w:val="22"/>
          <w:szCs w:val="22"/>
        </w:rPr>
        <w:t xml:space="preserve"/>
      </w:r>
    </w:p>
    <w:p>
      <w:pPr>
        <w:pStyle w:val="Heading2"/>
        <w:spacing w:after="120" w:before="320"/>
      </w:pPr>
      <w:r>
        <w:rPr>
          <w:rFonts w:ascii="Arial" w:cs="Arial" w:eastAsia="Arial" w:hAnsi="Arial"/>
          <w:b/>
          <w:bCs/>
          <w:i w:val="false"/>
          <w:iCs w:val="false"/>
          <w:caps w:val="false"/>
          <w:color w:val="0F3499"/>
          <w:sz w:val="26"/>
          <w:szCs w:val="26"/>
        </w:rPr>
        <w:t xml:space="preserve">5.3  MVP Scope — Two-Week Delivery</w:t>
      </w:r>
    </w:p>
    <w:p>
      <w:pPr>
        <w:spacing w:after="80" w:before="60"/>
        <w:jc w:val="left"/>
      </w:pPr>
      <w:r>
        <w:rPr>
          <w:rFonts w:ascii="Arial" w:cs="Arial" w:eastAsia="Arial" w:hAnsi="Arial"/>
          <w:b w:val="false"/>
          <w:bCs w:val="false"/>
          <w:i w:val="false"/>
          <w:iCs w:val="false"/>
          <w:caps w:val="false"/>
          <w:color w:val="1C2B4A"/>
          <w:sz w:val="22"/>
          <w:szCs w:val="22"/>
        </w:rPr>
        <w:t xml:space="preserve">The initial engineering sprint delivers a testable mobile application in two weeks. This is not the final product — it is the minimum viable proof of concept to validate clinical workflow before adding regulatory and scale infrastructure.</w:t>
      </w:r>
    </w:p>
    <w:p>
      <w:pPr>
        <w:spacing w:after="0" w:before="8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Feature</w:t>
            </w:r>
          </w:p>
        </w:tc>
        <w:tc>
          <w:tcPr>
            <w:tcW w:type="dxa" w:w="1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In MVP</w:t>
            </w:r>
          </w:p>
        </w:tc>
        <w:tc>
          <w:tcPr>
            <w:tcW w:type="dxa" w:w="4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Notes</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Doctor registration (NPI + phone OTP)</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Core identity layer</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Organization create + join via invite code</w:t>
            </w:r>
          </w:p>
        </w:tc>
        <w:tc>
          <w:tcPr>
            <w:tcW w:type="dxa" w:w="1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Invite code format: XXXX·0000</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Direct doctor-to-doctor messaging</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Text, read receipts, timestamps</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Group chat (free-form, org-scoped)</w:t>
            </w:r>
          </w:p>
        </w:tc>
        <w:tc>
          <w:tcPr>
            <w:tcW w:type="dxa" w:w="1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Any doctor can create, add org members</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Voice notes with waveform + transcript</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Core differentiator — must ship</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File + image sharing</w:t>
            </w:r>
          </w:p>
        </w:tc>
        <w:tc>
          <w:tcPr>
            <w:tcW w:type="dxa" w:w="1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PDF, images, ECGs</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Disappearing messages</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Off / 24hr / 7 days per conversation</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Presence status (online / away / offline)</w:t>
            </w:r>
          </w:p>
        </w:tc>
        <w:tc>
          <w:tcPr>
            <w:tcW w:type="dxa" w:w="1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Real-time presence dots on avatars</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Org Admin panel (in-app)</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Invite code display, member management</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Super Admin panel (web)</w:t>
            </w:r>
          </w:p>
        </w:tc>
        <w:tc>
          <w:tcPr>
            <w:tcW w:type="dxa" w:w="1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Org verification queue — internal tool</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End-to-end encryption</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Yes</w:t>
            </w:r>
          </w:p>
        </w:tc>
        <w:tc>
          <w:tcPr>
            <w:tcW w:type="dxa" w:w="4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Non-negotiable — ships with MVP</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Push notifications</w:t>
            </w:r>
          </w:p>
        </w:tc>
        <w:tc>
          <w:tcPr>
            <w:tcW w:type="dxa" w:w="1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No</w:t>
            </w:r>
          </w:p>
        </w:tc>
        <w:tc>
          <w:tcPr>
            <w:tcW w:type="dxa" w:w="4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2</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Message search</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No</w:t>
            </w:r>
          </w:p>
        </w:tc>
        <w:tc>
          <w:tcPr>
            <w:tcW w:type="dxa" w:w="4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3</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EMR integration</w:t>
            </w:r>
          </w:p>
        </w:tc>
        <w:tc>
          <w:tcPr>
            <w:tcW w:type="dxa" w:w="1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No</w:t>
            </w:r>
          </w:p>
        </w:tc>
        <w:tc>
          <w:tcPr>
            <w:tcW w:type="dxa" w:w="4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4</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Cross-org messaging</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No</w:t>
            </w:r>
          </w:p>
        </w:tc>
        <w:tc>
          <w:tcPr>
            <w:tcW w:type="dxa" w:w="45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3</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SSO / SAML</w:t>
            </w:r>
          </w:p>
        </w:tc>
        <w:tc>
          <w:tcPr>
            <w:tcW w:type="dxa" w:w="1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No</w:t>
            </w:r>
          </w:p>
        </w:tc>
        <w:tc>
          <w:tcPr>
            <w:tcW w:type="dxa" w:w="45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4 — enterprise requirement</w:t>
            </w:r>
          </w:p>
        </w:tc>
      </w:tr>
    </w:tbl>
    <w:p>
      <w:r>
        <w:br w:type="page"/>
      </w:r>
    </w:p>
    <w:p>
      <w:pPr>
        <w:pStyle w:val="Heading1"/>
        <w:pBdr>
          <w:bottom w:val="single" w:color="1A56DB" w:sz="6" w:space="6"/>
        </w:pBdr>
        <w:spacing w:after="160" w:before="480"/>
      </w:pPr>
      <w:r>
        <w:rPr>
          <w:rFonts w:ascii="Arial" w:cs="Arial" w:eastAsia="Arial" w:hAnsi="Arial"/>
          <w:b/>
          <w:bCs/>
          <w:i w:val="false"/>
          <w:iCs w:val="false"/>
          <w:caps w:val="false"/>
          <w:color w:val="1C2B4A"/>
          <w:sz w:val="34"/>
          <w:szCs w:val="34"/>
        </w:rPr>
        <w:t xml:space="preserve">6.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360"/>
      </w:tblGrid>
      <w:tr>
        <w:trPr>
          <w:tblHeader/>
        </w:trPr>
        <w:tc>
          <w:tcPr>
            <w:tcW w:type="dxa" w:w="1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Phase</w:t>
            </w:r>
          </w:p>
        </w:tc>
        <w:tc>
          <w:tcPr>
            <w:tcW w:type="dxa" w:w="1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Timeline</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Business Goal</w:t>
            </w:r>
          </w:p>
        </w:tc>
        <w:tc>
          <w:tcPr>
            <w:tcW w:type="dxa" w:w="4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Key Deliverables</w:t>
            </w:r>
          </w:p>
        </w:tc>
      </w:tr>
      <w:tr>
        <w:tc>
          <w:tcPr>
            <w:tcW w:type="dxa" w:w="1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0
MVP</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Weeks 1–2</w:t>
            </w:r>
          </w:p>
        </w:tc>
        <w:tc>
          <w:tcPr>
            <w:tcW w:type="dxa" w:w="2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Testable proof of concept</w:t>
            </w:r>
          </w:p>
        </w:tc>
        <w:tc>
          <w:tcPr>
            <w:tcW w:type="dxa" w:w="43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Registration, org onboarding, direct + group messaging, voice notes with transcript, file sharing, disappearing messages, Super Admin panel</w:t>
            </w:r>
          </w:p>
        </w:tc>
      </w:tr>
      <w:tr>
        <w:tc>
          <w:tcPr>
            <w:tcW w:type="dxa" w:w="1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1
Pilot</w:t>
            </w:r>
          </w:p>
        </w:tc>
        <w:tc>
          <w:tcPr>
            <w:tcW w:type="dxa" w:w="1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Months 1–3</w:t>
            </w:r>
          </w:p>
        </w:tc>
        <w:tc>
          <w:tcPr>
            <w:tcW w:type="dxa" w:w="2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3–5 referenceable US customers</w:t>
            </w:r>
          </w:p>
        </w:tc>
        <w:tc>
          <w:tcPr>
            <w:tcW w:type="dxa" w:w="43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HIPAA compliance baseline, BAA template, AWS US infrastructure, pilot testing with Dr. Vimal + Dr. Nanavati, bug resolution</w:t>
            </w:r>
          </w:p>
        </w:tc>
      </w:tr>
      <w:tr>
        <w:tc>
          <w:tcPr>
            <w:tcW w:type="dxa" w:w="1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2
Revenue</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Months 4–9</w:t>
            </w:r>
          </w:p>
        </w:tc>
        <w:tc>
          <w:tcPr>
            <w:tcW w:type="dxa" w:w="2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First $100K ARR, 25 paid orgs</w:t>
            </w:r>
          </w:p>
        </w:tc>
        <w:tc>
          <w:tcPr>
            <w:tcW w:type="dxa" w:w="43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Paid licensing activated, push notifications, image commenting, Wi-Fi printing, conference presence (HRS, ACC, AHA)</w:t>
            </w:r>
          </w:p>
        </w:tc>
      </w:tr>
      <w:tr>
        <w:tc>
          <w:tcPr>
            <w:tcW w:type="dxa" w:w="1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3
Scale</w:t>
            </w:r>
          </w:p>
        </w:tc>
        <w:tc>
          <w:tcPr>
            <w:tcW w:type="dxa" w:w="12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Months 10–18</w:t>
            </w:r>
          </w:p>
        </w:tc>
        <w:tc>
          <w:tcPr>
            <w:tcW w:type="dxa" w:w="24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100+ orgs, seed round</w:t>
            </w:r>
          </w:p>
        </w:tc>
        <w:tc>
          <w:tcPr>
            <w:tcW w:type="dxa" w:w="43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Group message enhancements, message search, audit log export, cross-org messaging (limited), SOC 2 Type I</w:t>
            </w:r>
          </w:p>
        </w:tc>
      </w:tr>
      <w:tr>
        <w:tc>
          <w:tcPr>
            <w:tcW w:type="dxa" w:w="1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Phase 4
Enterprise</w:t>
            </w:r>
          </w:p>
        </w:tc>
        <w:tc>
          <w:tcPr>
            <w:tcW w:type="dxa" w:w="12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Month 18+</w:t>
            </w:r>
          </w:p>
        </w:tc>
        <w:tc>
          <w:tcPr>
            <w:tcW w:type="dxa" w:w="24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Community hospitals, $4M ARR target</w:t>
            </w:r>
          </w:p>
        </w:tc>
        <w:tc>
          <w:tcPr>
            <w:tcW w:type="dxa" w:w="43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EMR integration hooks, SSO/SAML, dedicated org infrastructure, SOC 2 Type II, FedRAMP exploration</w:t>
            </w:r>
          </w:p>
        </w:tc>
      </w:tr>
    </w:tbl>
    <w:p>
      <w:r>
        <w:br w:type="page"/>
      </w:r>
    </w:p>
    <w:p>
      <w:pPr>
        <w:pStyle w:val="Heading1"/>
        <w:pBdr>
          <w:bottom w:val="single" w:color="1A56DB" w:sz="6" w:space="6"/>
        </w:pBdr>
        <w:spacing w:after="160" w:before="480"/>
      </w:pPr>
      <w:r>
        <w:rPr>
          <w:rFonts w:ascii="Arial" w:cs="Arial" w:eastAsia="Arial" w:hAnsi="Arial"/>
          <w:b/>
          <w:bCs/>
          <w:i w:val="false"/>
          <w:iCs w:val="false"/>
          <w:caps w:val="false"/>
          <w:color w:val="1C2B4A"/>
          <w:sz w:val="34"/>
          <w:szCs w:val="34"/>
        </w:rPr>
        <w:t xml:space="preserve">7. Immediate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760"/>
        <w:gridCol w:w="2000"/>
      </w:tblGrid>
      <w:tr>
        <w:trPr>
          <w:tblHeader/>
        </w:trPr>
        <w:tc>
          <w:tcPr>
            <w:tcW w:type="dxa" w:w="3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Action</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Owner</w:t>
            </w:r>
          </w:p>
        </w:tc>
        <w:tc>
          <w:tcPr>
            <w:tcW w:type="dxa" w:w="1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Deadline</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FFFFFF"/>
                <w:sz w:val="20"/>
                <w:szCs w:val="20"/>
              </w:rPr>
              <w:t xml:space="preserve">Priority</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Deliver MVP app — registration, messaging, voice notes, group chat, Super Admin panel</w:t>
            </w:r>
          </w:p>
        </w:tc>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Lokesh</w:t>
            </w:r>
          </w:p>
        </w:tc>
        <w:tc>
          <w:tcPr>
            <w:tcW w:type="dxa" w:w="17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2 weeks</w:t>
            </w:r>
          </w:p>
        </w:tc>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Critical</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Engage US healthcare attorney — draft BAA template</w:t>
            </w:r>
          </w:p>
        </w:tc>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DJ + Dr. Vimal</w:t>
            </w:r>
          </w:p>
        </w:tc>
        <w:tc>
          <w:tcPr>
            <w:tcW w:type="dxa" w:w="17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Before first pitch</w:t>
            </w:r>
          </w:p>
        </w:tc>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Critical</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Register US LLC — corporate entity for customer contracts</w:t>
            </w:r>
          </w:p>
        </w:tc>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DJ</w:t>
            </w:r>
          </w:p>
        </w:tc>
        <w:tc>
          <w:tcPr>
            <w:tcW w:type="dxa" w:w="17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ASAP</w:t>
            </w:r>
          </w:p>
        </w:tc>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Critical</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Set up AWS US infrastructure — US-East-1, HIPAA-eligible services</w:t>
            </w:r>
          </w:p>
        </w:tc>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Lokesh</w:t>
            </w:r>
          </w:p>
        </w:tc>
        <w:tc>
          <w:tcPr>
            <w:tcW w:type="dxa" w:w="17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Before pilot launch</w:t>
            </w:r>
          </w:p>
        </w:tc>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High</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Identify 3–5 pilot practice targets in USA</w:t>
            </w:r>
          </w:p>
        </w:tc>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Dr. Vimal</w:t>
            </w:r>
          </w:p>
        </w:tc>
        <w:tc>
          <w:tcPr>
            <w:tcW w:type="dxa" w:w="17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Month 1</w:t>
            </w:r>
          </w:p>
        </w:tc>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High</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Conduct internal testing with mock patients (Patient X, Test A)</w:t>
            </w:r>
          </w:p>
        </w:tc>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Dr. Vimal + Dr. Nanavati</w:t>
            </w:r>
          </w:p>
        </w:tc>
        <w:tc>
          <w:tcPr>
            <w:tcW w:type="dxa" w:w="17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Post-delivery</w:t>
            </w:r>
          </w:p>
        </w:tc>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High</w:t>
            </w:r>
          </w:p>
        </w:tc>
      </w:tr>
      <w:tr>
        <w:tc>
          <w:tcPr>
            <w:tcW w:type="dxa" w:w="36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Post development update + timeline to team WhatsApp group</w:t>
            </w:r>
          </w:p>
        </w:tc>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Lokesh</w:t>
            </w:r>
          </w:p>
        </w:tc>
        <w:tc>
          <w:tcPr>
            <w:tcW w:type="dxa" w:w="176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This week</w:t>
            </w:r>
          </w:p>
        </w:tc>
        <w:tc>
          <w:tcPr>
            <w:tcW w:type="dxa" w:w="2000"/>
            <w:tcBorders>
              <w:top w:val="single" w:color="D6DDF0" w:sz="1"/>
              <w:left w:val="single" w:color="D6DDF0" w:sz="1"/>
              <w:bottom w:val="single" w:color="D6DDF0" w:sz="1"/>
              <w:right w:val="single" w:color="D6DD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Medium</w:t>
            </w:r>
          </w:p>
        </w:tc>
      </w:tr>
      <w:tr>
        <w:tc>
          <w:tcPr>
            <w:tcW w:type="dxa" w:w="36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Begin weekly status meetings post-delivery</w:t>
            </w:r>
          </w:p>
        </w:tc>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All</w:t>
            </w:r>
          </w:p>
        </w:tc>
        <w:tc>
          <w:tcPr>
            <w:tcW w:type="dxa" w:w="176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After 2-week delivery</w:t>
            </w:r>
          </w:p>
        </w:tc>
        <w:tc>
          <w:tcPr>
            <w:tcW w:type="dxa" w:w="2000"/>
            <w:tcBorders>
              <w:top w:val="single" w:color="D6DDF0" w:sz="1"/>
              <w:left w:val="single" w:color="D6DDF0" w:sz="1"/>
              <w:bottom w:val="single" w:color="D6DDF0" w:sz="1"/>
              <w:right w:val="single" w:color="D6DDF0" w:sz="1"/>
            </w:tcBorders>
            <w:shd w:fill="F8FA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1C2B4A"/>
                <w:sz w:val="20"/>
                <w:szCs w:val="20"/>
              </w:rPr>
              <w:t xml:space="preserve">Medium</w:t>
            </w:r>
          </w:p>
        </w:tc>
      </w:tr>
    </w:tbl>
    <w:p>
      <w:pPr>
        <w:spacing w:after="0" w:before="120"/>
      </w:pPr>
      <w:r>
        <w:rPr>
          <w:rFonts w:ascii="Arial" w:cs="Arial" w:eastAsia="Arial" w:hAnsi="Arial"/>
          <w:b w:val="false"/>
          <w:bCs w:val="false"/>
          <w:i w:val="false"/>
          <w:iCs w:val="false"/>
          <w:caps w:val="false"/>
          <w:color w:val="1C2B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EF2F8" w:sz="1"/>
              <w:left w:val="single" w:color="0ABFAD" w:sz="20"/>
              <w:bottom w:val="single" w:color="EEF2F8" w:sz="1"/>
              <w:right w:val="single" w:color="EEF2F8" w:sz="1"/>
            </w:tcBorders>
            <w:shd w:fill="E0FAF7" w:val="clear"/>
            <w:tcMar>
              <w:top w:type="dxa" w:w="120"/>
              <w:left w:type="dxa" w:w="220"/>
              <w:bottom w:type="dxa" w:w="120"/>
              <w:right w:type="dxa" w:w="180"/>
            </w:tcMar>
          </w:tcPr>
          <w:p>
            <w:pPr>
              <w:spacing w:after="0" w:before="0"/>
            </w:pPr>
            <w:r>
              <w:rPr>
                <w:rFonts w:ascii="Arial" w:cs="Arial" w:eastAsia="Arial" w:hAnsi="Arial"/>
                <w:b w:val="false"/>
                <w:bCs w:val="false"/>
                <w:i w:val="false"/>
                <w:iCs w:val="false"/>
                <w:caps w:val="false"/>
                <w:color w:val="0D6B62"/>
                <w:sz w:val="20"/>
                <w:szCs w:val="20"/>
              </w:rPr>
              <w:t xml:space="preserve">The two-week MVP is not the product — it is the evidence.</w:t>
            </w:r>
          </w:p>
          <w:p>
            <w:pPr>
              <w:spacing w:after="0" w:before="60"/>
            </w:pPr>
            <w:r>
              <w:rPr>
                <w:rFonts w:ascii="Arial" w:cs="Arial" w:eastAsia="Arial" w:hAnsi="Arial"/>
                <w:b w:val="false"/>
                <w:bCs w:val="false"/>
                <w:i w:val="false"/>
                <w:iCs w:val="false"/>
                <w:caps w:val="false"/>
                <w:color w:val="0D6B62"/>
                <w:sz w:val="20"/>
                <w:szCs w:val="20"/>
              </w:rPr>
              <w:t xml:space="preserve">Evidence that the workflow works. Evidence that doctors will use it. Evidence that the team can build and ship. Every conversation with an investor or partner before that evidence exists is a conversation happening too early.</w:t>
            </w:r>
          </w:p>
        </w:tc>
      </w:tr>
    </w:tbl>
    <w:p>
      <w:pPr>
        <w:spacing w:after="0" w:before="120"/>
      </w:pPr>
      <w:r>
        <w:rPr>
          <w:rFonts w:ascii="Arial" w:cs="Arial" w:eastAsia="Arial" w:hAnsi="Arial"/>
          <w:b w:val="false"/>
          <w:bCs w:val="false"/>
          <w:i w:val="false"/>
          <w:iCs w:val="false"/>
          <w:caps w:val="false"/>
          <w:color w:val="1C2B4A"/>
          <w:sz w:val="22"/>
          <w:szCs w:val="22"/>
        </w:rPr>
        <w:t xml:space="preserve"/>
      </w:r>
    </w:p>
    <w:p>
      <w:pPr>
        <w:spacing w:after="80" w:before="60"/>
        <w:jc w:val="center"/>
      </w:pPr>
      <w:r>
        <w:rPr>
          <w:rFonts w:ascii="Arial" w:cs="Arial" w:eastAsia="Arial" w:hAnsi="Arial"/>
          <w:b w:val="false"/>
          <w:bCs w:val="false"/>
          <w:i/>
          <w:iCs/>
          <w:caps w:val="false"/>
          <w:color w:val="8A9CC4"/>
          <w:sz w:val="22"/>
          <w:szCs w:val="22"/>
        </w:rPr>
        <w:t xml:space="preserve">— End of Document —</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DF0" w:sz="2" w:space="4"/>
      </w:pBdr>
      <w:tabs>
        <w:tab w:val="right" w:pos="9026"/>
      </w:tabs>
      <w:spacing w:after="0" w:before="100"/>
    </w:pPr>
    <w:r>
      <w:rPr>
        <w:rFonts w:ascii="Arial" w:cs="Arial" w:eastAsia="Arial" w:hAnsi="Arial"/>
        <w:b w:val="false"/>
        <w:bCs w:val="false"/>
        <w:i w:val="false"/>
        <w:iCs w:val="false"/>
        <w:caps w:val="false"/>
        <w:color w:val="8A9CC4"/>
        <w:sz w:val="16"/>
        <w:szCs w:val="16"/>
      </w:rPr>
      <w:t xml:space="preserve">© 2026 Dox2Dox. All rights reserved.</w:t>
    </w:r>
    <w:r>
      <w:rPr>
        <w:rFonts w:ascii="Arial" w:cs="Arial" w:eastAsia="Arial" w:hAnsi="Arial"/>
        <w:b w:val="false"/>
        <w:bCs w:val="false"/>
        <w:i w:val="false"/>
        <w:iCs w:val="false"/>
        <w:caps w:val="false"/>
        <w:color w:val="8A9CC4"/>
        <w:sz w:val="16"/>
        <w:szCs w:val="16"/>
      </w:rPr>
      <w:t xml:space="preserve">	For investor and partner use only.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spacing w:after="100" w:before="0"/>
    </w:pPr>
    <w:r>
      <w:rPr>
        <w:rFonts w:ascii="Arial" w:cs="Arial" w:eastAsia="Arial" w:hAnsi="Arial"/>
        <w:b/>
        <w:bCs/>
        <w:i w:val="false"/>
        <w:iCs w:val="false"/>
        <w:caps w:val="false"/>
        <w:color w:val="1A56DB"/>
        <w:sz w:val="18"/>
        <w:szCs w:val="18"/>
      </w:rPr>
      <w:t xml:space="preserve">Dox2Dox</w:t>
    </w:r>
    <w:r>
      <w:rPr>
        <w:rFonts w:ascii="Arial" w:cs="Arial" w:eastAsia="Arial" w:hAnsi="Arial"/>
        <w:b w:val="false"/>
        <w:bCs w:val="false"/>
        <w:i w:val="false"/>
        <w:iCs w:val="false"/>
        <w:caps w:val="false"/>
        <w:color w:val="8A9CC4"/>
        <w:sz w:val="18"/>
        <w:szCs w:val="18"/>
      </w:rPr>
      <w:t xml:space="preserve">   ·   Business Flow &amp; Requirements Document</w:t>
    </w:r>
    <w:r>
      <w:rPr>
        <w:rFonts w:ascii="Arial" w:cs="Arial" w:eastAsia="Arial" w:hAnsi="Arial"/>
        <w:b w:val="false"/>
        <w:bCs w:val="false"/>
        <w:i w:val="false"/>
        <w:iCs w:val="false"/>
        <w:caps w:val="false"/>
        <w:color w:val="8A9CC4"/>
        <w:sz w:val="18"/>
        <w:szCs w:val="18"/>
      </w:rPr>
      <w:t xml:space="preserve">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C2B4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0F349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5E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2026-05-03T06:21:59.245Z</dcterms:created>
  <dcterms:modified xsi:type="dcterms:W3CDTF">2026-05-03T06:21:59.258Z</dcterms:modified>
</cp:coreProperties>
</file>

<file path=docProps/custom.xml><?xml version="1.0" encoding="utf-8"?>
<Properties xmlns="http://schemas.openxmlformats.org/officeDocument/2006/custom-properties" xmlns:vt="http://schemas.openxmlformats.org/officeDocument/2006/docPropsVTypes"/>
</file>