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56DB"/>
          <w:sz w:val="72"/>
          <w:szCs w:val="72"/>
        </w:rPr>
        <w:t xml:space="preserve">Dox2Dox</w:t>
      </w:r>
    </w:p>
    <w:p>
      <w:pPr>
        <w:spacing w:after="200" w:before="0"/>
        <w:jc w:val="center"/>
      </w:pPr>
      <w:r>
        <w:rPr>
          <w:rFonts w:ascii="Arial" w:cs="Arial" w:eastAsia="Arial" w:hAnsi="Arial"/>
          <w:i/>
          <w:iCs/>
          <w:color w:val="4A5E8C"/>
          <w:sz w:val="28"/>
          <w:szCs w:val="28"/>
        </w:rPr>
        <w:t xml:space="preserve">Doctor-to-Doctor Communication Platform</w:t>
      </w:r>
    </w:p>
    <w:p>
      <w:pPr>
        <w:pBdr>
          <w:bottom w:val="single" w:color="0ABFAD" w:sz="4" w:space="1"/>
        </w:pBdr>
        <w:spacing w:after="240" w:before="0"/>
        <w:jc w:val="center"/>
      </w:pPr>
      <w:r>
        <w:t xml:space="preserve"/>
      </w:r>
    </w:p>
    <w:p>
      <w:pPr>
        <w:spacing w:after="0" w:before="200"/>
      </w:pPr>
      <w:r>
        <w:t xml:space="preserve"/>
      </w:r>
    </w:p>
    <w:p>
      <w:pPr>
        <w:spacing w:after="80" w:before="0"/>
        <w:jc w:val="center"/>
      </w:pPr>
      <w:r>
        <w:rPr>
          <w:rFonts w:ascii="Arial" w:cs="Arial" w:eastAsia="Arial" w:hAnsi="Arial"/>
          <w:b/>
          <w:bCs/>
          <w:color w:val="1C2B4A"/>
          <w:sz w:val="26"/>
          <w:szCs w:val="26"/>
        </w:rPr>
        <w:t xml:space="preserve">Business Flow &amp; Product Specification</w:t>
      </w:r>
    </w:p>
    <w:p>
      <w:pPr>
        <w:spacing w:after="80" w:before="0"/>
        <w:jc w:val="center"/>
      </w:pPr>
      <w:r>
        <w:rPr>
          <w:rFonts w:ascii="Arial" w:cs="Arial" w:eastAsia="Arial" w:hAnsi="Arial"/>
          <w:color w:val="8A9CC4"/>
          <w:sz w:val="22"/>
          <w:szCs w:val="22"/>
        </w:rPr>
        <w:t xml:space="preserve">Version 1.0  •  Confidential</w:t>
      </w:r>
    </w:p>
    <w:p>
      <w:pPr>
        <w:spacing w:after="80" w:before="0"/>
        <w:jc w:val="center"/>
      </w:pPr>
      <w:r>
        <w:rPr>
          <w:rFonts w:ascii="Arial" w:cs="Arial" w:eastAsia="Arial" w:hAnsi="Arial"/>
          <w:color w:val="8A9CC4"/>
          <w:sz w:val="22"/>
          <w:szCs w:val="22"/>
        </w:rPr>
        <w:t xml:space="preserve">May 2026</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Borders>
              <w:top w:val="none" w:color="FFFFFF" w:sz="0"/>
              <w:left w:val="none" w:color="FFFFFF" w:sz="0"/>
              <w:bottom w:val="none" w:color="FFFFFF" w:sz="0"/>
              <w:right w:val="none" w:color="FFFFFF" w:sz="0"/>
            </w:tcBorders>
            <w:shd w:fill="EBF3FF" w:val="clear"/>
            <w:tcMar>
              <w:top w:type="dxa" w:w="80"/>
              <w:left w:type="dxa" w:w="140"/>
              <w:bottom w:type="dxa" w:w="80"/>
              <w:right w:type="dxa" w:w="140"/>
            </w:tcMar>
          </w:tcPr>
          <w:p>
            <w:pPr>
              <w:jc w:val="right"/>
            </w:pPr>
            <w:r>
              <w:rPr>
                <w:rFonts w:ascii="Arial" w:cs="Arial" w:eastAsia="Arial" w:hAnsi="Arial"/>
                <w:b/>
                <w:bCs/>
                <w:color w:val="0F3499"/>
                <w:sz w:val="20"/>
                <w:szCs w:val="20"/>
              </w:rPr>
              <w:t xml:space="preserve">Co-Founder / Clinical Lead</w:t>
            </w:r>
          </w:p>
        </w:tc>
        <w:tc>
          <w:tcPr>
            <w:tcBorders>
              <w:top w:val="none" w:color="FFFFFF" w:sz="0"/>
              <w:left w:val="none" w:color="FFFFFF" w:sz="0"/>
              <w:bottom w:val="none" w:color="FFFFFF" w:sz="0"/>
              <w:right w:val="none" w:color="FFFFFF" w:sz="0"/>
            </w:tcBorders>
            <w:shd w:fill="EBF3FF" w:val="clear"/>
            <w:tcMar>
              <w:top w:type="dxa" w:w="80"/>
              <w:left w:type="dxa" w:w="140"/>
              <w:bottom w:type="dxa" w:w="80"/>
              <w:right w:type="dxa" w:w="140"/>
            </w:tcMar>
          </w:tcPr>
          <w:p>
            <w:pPr>
              <w:jc w:val="left"/>
            </w:pPr>
            <w:r>
              <w:rPr>
                <w:rFonts w:ascii="Arial" w:cs="Arial" w:eastAsia="Arial" w:hAnsi="Arial"/>
                <w:b w:val="false"/>
                <w:bCs w:val="false"/>
                <w:color w:val="1C2B4A"/>
                <w:sz w:val="20"/>
                <w:szCs w:val="20"/>
              </w:rPr>
              <w:t xml:space="preserve">Dr. Vimal (USA)</w:t>
            </w:r>
          </w:p>
        </w:tc>
      </w:tr>
      <w:tr>
        <w:tc>
          <w:tcPr>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jc w:val="right"/>
            </w:pPr>
            <w:r>
              <w:rPr>
                <w:rFonts w:ascii="Arial" w:cs="Arial" w:eastAsia="Arial" w:hAnsi="Arial"/>
                <w:b/>
                <w:bCs/>
                <w:color w:val="0F3499"/>
                <w:sz w:val="20"/>
                <w:szCs w:val="20"/>
              </w:rPr>
              <w:t xml:space="preserve">Co-Founder / Operations</w:t>
            </w:r>
          </w:p>
        </w:tc>
        <w:tc>
          <w:tcPr>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jc w:val="left"/>
            </w:pPr>
            <w:r>
              <w:rPr>
                <w:rFonts w:ascii="Arial" w:cs="Arial" w:eastAsia="Arial" w:hAnsi="Arial"/>
                <w:b w:val="false"/>
                <w:bCs w:val="false"/>
                <w:color w:val="1C2B4A"/>
                <w:sz w:val="20"/>
                <w:szCs w:val="20"/>
              </w:rPr>
              <w:t xml:space="preserve">DJ</w:t>
            </w:r>
          </w:p>
        </w:tc>
      </w:tr>
      <w:tr>
        <w:tc>
          <w:tcPr>
            <w:tcBorders>
              <w:top w:val="none" w:color="FFFFFF" w:sz="0"/>
              <w:left w:val="none" w:color="FFFFFF" w:sz="0"/>
              <w:bottom w:val="none" w:color="FFFFFF" w:sz="0"/>
              <w:right w:val="none" w:color="FFFFFF" w:sz="0"/>
            </w:tcBorders>
            <w:shd w:fill="EBF3FF" w:val="clear"/>
            <w:tcMar>
              <w:top w:type="dxa" w:w="80"/>
              <w:left w:type="dxa" w:w="140"/>
              <w:bottom w:type="dxa" w:w="80"/>
              <w:right w:type="dxa" w:w="140"/>
            </w:tcMar>
          </w:tcPr>
          <w:p>
            <w:pPr>
              <w:jc w:val="right"/>
            </w:pPr>
            <w:r>
              <w:rPr>
                <w:rFonts w:ascii="Arial" w:cs="Arial" w:eastAsia="Arial" w:hAnsi="Arial"/>
                <w:b/>
                <w:bCs/>
                <w:color w:val="0F3499"/>
                <w:sz w:val="20"/>
                <w:szCs w:val="20"/>
              </w:rPr>
              <w:t xml:space="preserve">Engineering Lead</w:t>
            </w:r>
          </w:p>
        </w:tc>
        <w:tc>
          <w:tcPr>
            <w:tcBorders>
              <w:top w:val="none" w:color="FFFFFF" w:sz="0"/>
              <w:left w:val="none" w:color="FFFFFF" w:sz="0"/>
              <w:bottom w:val="none" w:color="FFFFFF" w:sz="0"/>
              <w:right w:val="none" w:color="FFFFFF" w:sz="0"/>
            </w:tcBorders>
            <w:shd w:fill="EBF3FF" w:val="clear"/>
            <w:tcMar>
              <w:top w:type="dxa" w:w="80"/>
              <w:left w:type="dxa" w:w="140"/>
              <w:bottom w:type="dxa" w:w="80"/>
              <w:right w:type="dxa" w:w="140"/>
            </w:tcMar>
          </w:tcPr>
          <w:p>
            <w:pPr>
              <w:jc w:val="left"/>
            </w:pPr>
            <w:r>
              <w:rPr>
                <w:rFonts w:ascii="Arial" w:cs="Arial" w:eastAsia="Arial" w:hAnsi="Arial"/>
                <w:b w:val="false"/>
                <w:bCs w:val="false"/>
                <w:color w:val="1C2B4A"/>
                <w:sz w:val="20"/>
                <w:szCs w:val="20"/>
              </w:rPr>
              <w:t xml:space="preserve">Lokesh</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1. Executive Summary</w:t>
      </w:r>
    </w:p>
    <w:p>
      <w:pPr>
        <w:spacing w:after="80" w:before="60"/>
      </w:pPr>
      <w:r>
        <w:rPr>
          <w:rFonts w:ascii="Arial" w:cs="Arial" w:eastAsia="Arial" w:hAnsi="Arial"/>
          <w:b w:val="false"/>
          <w:bCs w:val="false"/>
          <w:i w:val="false"/>
          <w:iCs w:val="false"/>
          <w:color w:val="1C2B4A"/>
          <w:sz w:val="22"/>
          <w:szCs w:val="22"/>
        </w:rPr>
        <w:t xml:space="preserve">Dox2Dox is a HIPAA-compliant, mobile-first B2B communication platform built exclusively for licensed physicians. It enables secure, real-time doctor-to-doctor communication within verified medical organizations — replacing the current industry-wide workaround of using personal WhatsApp and iMessage for clinical consultation.</w:t>
      </w:r>
    </w:p>
    <w:p>
      <w:pPr>
        <w:spacing w:after="0" w:before="80"/>
      </w:pPr>
      <w:r>
        <w:t xml:space="preserve"/>
      </w:r>
    </w:p>
    <w:p>
      <w:pPr>
        <w:spacing w:after="80" w:before="60"/>
      </w:pPr>
      <w:r>
        <w:rPr>
          <w:rFonts w:ascii="Arial" w:cs="Arial" w:eastAsia="Arial" w:hAnsi="Arial"/>
          <w:b/>
          <w:bCs/>
          <w:i w:val="false"/>
          <w:iCs w:val="false"/>
          <w:color w:val="1C2B4A"/>
          <w:sz w:val="22"/>
          <w:szCs w:val="22"/>
        </w:rPr>
        <w:t xml:space="preserve">The platform is built around three core pillars:</w:t>
      </w:r>
    </w:p>
    <w:p>
      <w:pPr>
        <w:pStyle w:val="ListParagraph"/>
        <w:numPr>
          <w:ilvl w:val="0"/>
          <w:numId w:val="2"/>
        </w:numPr>
        <w:spacing w:after="40" w:before="40"/>
      </w:pPr>
      <w:r>
        <w:rPr>
          <w:rFonts w:ascii="Arial" w:cs="Arial" w:eastAsia="Arial" w:hAnsi="Arial"/>
          <w:color w:val="1C2B4A"/>
          <w:sz w:val="22"/>
          <w:szCs w:val="22"/>
        </w:rPr>
        <w:t xml:space="preserve">Verified organizations — every hospital or practice is manually verified before going live</w:t>
      </w:r>
    </w:p>
    <w:p>
      <w:pPr>
        <w:pStyle w:val="ListParagraph"/>
        <w:numPr>
          <w:ilvl w:val="0"/>
          <w:numId w:val="2"/>
        </w:numPr>
        <w:spacing w:after="40" w:before="40"/>
      </w:pPr>
      <w:r>
        <w:rPr>
          <w:rFonts w:ascii="Arial" w:cs="Arial" w:eastAsia="Arial" w:hAnsi="Arial"/>
          <w:color w:val="1C2B4A"/>
          <w:sz w:val="22"/>
          <w:szCs w:val="22"/>
        </w:rPr>
        <w:t xml:space="preserve">Trusted identity — every user is a licensed doctor, not a patient or administrator</w:t>
      </w:r>
    </w:p>
    <w:p>
      <w:pPr>
        <w:pStyle w:val="ListParagraph"/>
        <w:numPr>
          <w:ilvl w:val="0"/>
          <w:numId w:val="2"/>
        </w:numPr>
        <w:spacing w:after="40" w:before="40"/>
      </w:pPr>
      <w:r>
        <w:rPr>
          <w:rFonts w:ascii="Arial" w:cs="Arial" w:eastAsia="Arial" w:hAnsi="Arial"/>
          <w:color w:val="1C2B4A"/>
          <w:sz w:val="22"/>
          <w:szCs w:val="22"/>
        </w:rPr>
        <w:t xml:space="preserve">Clinical-grade messaging — voice notes with auto-transcription, file sharing, disappearing messages, and end-to-end encryption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The Problem We Are Solving</w:t>
            </w:r>
          </w:p>
          <w:p>
            <w:pPr>
              <w:spacing w:after="40" w:before="40"/>
            </w:pPr>
            <w:r>
              <w:rPr>
                <w:rFonts w:ascii="Arial" w:cs="Arial" w:eastAsia="Arial" w:hAnsi="Arial"/>
                <w:color w:val="1C2B4A"/>
                <w:sz w:val="20"/>
                <w:szCs w:val="20"/>
              </w:rPr>
              <w:t xml:space="preserve">Doctors in the United States currently communicate patient-sensitive information over personal cell phones using consumer apps (WhatsApp, iMessage, SMS). This is a HIPAA violation, exposes physicians to personal liability, and results in delayed, fragmented clinical communication.</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No purpose-built, lightweight, mobile-first solution exists for small independent practices. Enterprise solutions (like Epic messaging) are tied to EMR systems, cost $50K+ to implement, and are inaccessible to independent practitioners.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BFAD" w:sz="4"/>
              <w:left w:val="single" w:color="0ABFAD" w:sz="16"/>
              <w:bottom w:val="single" w:color="0ABFAD" w:sz="4"/>
              <w:right w:val="single" w:color="0ABFAD" w:sz="4"/>
            </w:tcBorders>
            <w:shd w:fill="E0FAF7"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Our Unfair Advantage</w:t>
            </w:r>
          </w:p>
          <w:p>
            <w:pPr>
              <w:spacing w:after="40" w:before="40"/>
            </w:pPr>
            <w:r>
              <w:rPr>
                <w:rFonts w:ascii="Arial" w:cs="Arial" w:eastAsia="Arial" w:hAnsi="Arial"/>
                <w:color w:val="1C2B4A"/>
                <w:sz w:val="20"/>
                <w:szCs w:val="20"/>
              </w:rPr>
              <w:t xml:space="preserve">Dr. Vimal is a practicing cardiologist in the USA. He is not an advisor — he is a co-founder. He understands the clinical workflow from the inside, has peer relationships with independent practitioners, and can walk into a pitch as a credible clinical champion. This is the difference between a product built for doctors and a product built by doctors.</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2. Market &amp; Go-To-Market Strategy</w:t>
      </w:r>
    </w:p>
    <w:p>
      <w:pPr>
        <w:pStyle w:val="Heading2"/>
        <w:spacing w:after="120" w:before="320"/>
      </w:pPr>
      <w:r>
        <w:rPr>
          <w:rFonts w:ascii="Arial" w:cs="Arial" w:eastAsia="Arial" w:hAnsi="Arial"/>
          <w:b/>
          <w:bCs/>
          <w:color w:val="0F3499"/>
          <w:sz w:val="26"/>
          <w:szCs w:val="26"/>
        </w:rPr>
        <w:t xml:space="preserve">2.1  Target Market</w:t>
      </w:r>
    </w:p>
    <w:p>
      <w:pPr>
        <w:spacing w:after="80" w:before="60"/>
      </w:pPr>
      <w:r>
        <w:rPr>
          <w:rFonts w:ascii="Arial" w:cs="Arial" w:eastAsia="Arial" w:hAnsi="Arial"/>
          <w:b w:val="false"/>
          <w:bCs w:val="false"/>
          <w:i w:val="false"/>
          <w:iCs w:val="false"/>
          <w:color w:val="1C2B4A"/>
          <w:sz w:val="22"/>
          <w:szCs w:val="22"/>
        </w:rPr>
        <w:t xml:space="preserve">Dox2Dox targets the United States healthcare market, specifically independent physician practices and small-to-mid-size specialty groups. We are explicitly not targeting large hospital chains in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1500"/>
        <w:gridCol w:w="1260"/>
      </w:tblGrid>
      <w:tr>
        <w:trPr>
          <w:tblHeader/>
        </w:trPr>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Segment</w:t>
            </w:r>
          </w:p>
        </w:tc>
        <w:tc>
          <w:tcPr>
            <w:tcW w:type="dxa" w:w="1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c>
          <w:tcPr>
            <w:tcW w:type="dxa" w:w="2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Decision Maker</w:t>
            </w:r>
          </w:p>
        </w:tc>
        <w:tc>
          <w:tcPr>
            <w:tcW w:type="dxa" w:w="15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Sales Cycle</w:t>
            </w:r>
          </w:p>
        </w:tc>
        <w:tc>
          <w:tcPr>
            <w:tcW w:type="dxa" w:w="12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Independent practice (2–15 doctors)</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220,000+ in USA</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Practice owner / Lead physician</w:t>
            </w:r>
          </w:p>
        </w:tc>
        <w:tc>
          <w:tcPr>
            <w:tcW w:type="dxa" w:w="15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1–3 weeks</w:t>
            </w:r>
          </w:p>
        </w:tc>
        <w:tc>
          <w:tcPr>
            <w:tcW w:type="dxa" w:w="12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Phase 1</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Specialty group (15–75 doctors)</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60,000+ in USA</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Practice Administrator</w:t>
            </w:r>
          </w:p>
        </w:tc>
        <w:tc>
          <w:tcPr>
            <w:tcW w:type="dxa" w:w="15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3–8 weeks</w:t>
            </w:r>
          </w:p>
        </w:tc>
        <w:tc>
          <w:tcPr>
            <w:tcW w:type="dxa" w:w="12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Phase 2</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Community hospital</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1,300+ in USA</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CTO / COO</w:t>
            </w:r>
          </w:p>
        </w:tc>
        <w:tc>
          <w:tcPr>
            <w:tcW w:type="dxa" w:w="15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2–6 months</w:t>
            </w:r>
          </w:p>
        </w:tc>
        <w:tc>
          <w:tcPr>
            <w:tcW w:type="dxa" w:w="12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Phase 3</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Large hospital chain</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~450 systems</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Committee / Legal / IT</w:t>
            </w:r>
          </w:p>
        </w:tc>
        <w:tc>
          <w:tcPr>
            <w:tcW w:type="dxa" w:w="15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6–18 months</w:t>
            </w:r>
          </w:p>
        </w:tc>
        <w:tc>
          <w:tcPr>
            <w:tcW w:type="dxa" w:w="12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Future</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2.2  Go-To-Market Motion</w:t>
      </w:r>
    </w:p>
    <w:p>
      <w:pPr>
        <w:spacing w:after="80" w:before="60"/>
      </w:pPr>
      <w:r>
        <w:rPr>
          <w:rFonts w:ascii="Arial" w:cs="Arial" w:eastAsia="Arial" w:hAnsi="Arial"/>
          <w:b w:val="false"/>
          <w:bCs w:val="false"/>
          <w:i w:val="false"/>
          <w:iCs w:val="false"/>
          <w:color w:val="1C2B4A"/>
          <w:sz w:val="22"/>
          <w:szCs w:val="22"/>
        </w:rPr>
        <w:t xml:space="preserve">Dox2Dox operates on a top-down B2B sales model. Dr. Vimal is the primary sales channel in Phase 1, leveraging existing peer relationships in the US physician community. This is a relationship-driven motion, not a product-led growth motion.</w:t>
      </w:r>
    </w:p>
    <w:p>
      <w:pPr>
        <w:spacing w:after="0" w:before="80"/>
      </w:pPr>
      <w:r>
        <w:t xml:space="preserve"/>
      </w:r>
    </w:p>
    <w:p>
      <w:pPr>
        <w:pStyle w:val="Heading3"/>
        <w:spacing w:after="80" w:before="200"/>
      </w:pPr>
      <w:r>
        <w:rPr>
          <w:rFonts w:ascii="Arial" w:cs="Arial" w:eastAsia="Arial" w:hAnsi="Arial"/>
          <w:b/>
          <w:bCs/>
          <w:color w:val="4A5E8C"/>
          <w:sz w:val="22"/>
          <w:szCs w:val="22"/>
        </w:rPr>
        <w:t xml:space="preserve">Phase 1 — Proof of Concept (Months 1–3)</w:t>
      </w:r>
    </w:p>
    <w:p>
      <w:pPr>
        <w:pStyle w:val="ListParagraph"/>
        <w:numPr>
          <w:ilvl w:val="0"/>
          <w:numId w:val="2"/>
        </w:numPr>
        <w:spacing w:after="40" w:before="40"/>
      </w:pPr>
      <w:r>
        <w:rPr>
          <w:rFonts w:ascii="Arial" w:cs="Arial" w:eastAsia="Arial" w:hAnsi="Arial"/>
          <w:color w:val="1C2B4A"/>
          <w:sz w:val="22"/>
          <w:szCs w:val="22"/>
        </w:rPr>
        <w:t xml:space="preserve">Target: 3–5 independent practices with 5–20 doctors each</w:t>
      </w:r>
    </w:p>
    <w:p>
      <w:pPr>
        <w:pStyle w:val="ListParagraph"/>
        <w:numPr>
          <w:ilvl w:val="0"/>
          <w:numId w:val="2"/>
        </w:numPr>
        <w:spacing w:after="40" w:before="40"/>
      </w:pPr>
      <w:r>
        <w:rPr>
          <w:rFonts w:ascii="Arial" w:cs="Arial" w:eastAsia="Arial" w:hAnsi="Arial"/>
          <w:color w:val="1C2B4A"/>
          <w:sz w:val="22"/>
          <w:szCs w:val="22"/>
        </w:rPr>
        <w:t xml:space="preserve">Sales motion: Dr. Vimal direct outreach to known colleagues</w:t>
      </w:r>
    </w:p>
    <w:p>
      <w:pPr>
        <w:pStyle w:val="ListParagraph"/>
        <w:numPr>
          <w:ilvl w:val="0"/>
          <w:numId w:val="2"/>
        </w:numPr>
        <w:spacing w:after="40" w:before="40"/>
      </w:pPr>
      <w:r>
        <w:rPr>
          <w:rFonts w:ascii="Arial" w:cs="Arial" w:eastAsia="Arial" w:hAnsi="Arial"/>
          <w:color w:val="1C2B4A"/>
          <w:sz w:val="22"/>
          <w:szCs w:val="22"/>
        </w:rPr>
        <w:t xml:space="preserve">Pricing: Free or heavily discounted — in exchange for feedback and testimonials</w:t>
      </w:r>
    </w:p>
    <w:p>
      <w:pPr>
        <w:pStyle w:val="ListParagraph"/>
        <w:numPr>
          <w:ilvl w:val="0"/>
          <w:numId w:val="2"/>
        </w:numPr>
        <w:spacing w:after="40" w:before="40"/>
      </w:pPr>
      <w:r>
        <w:rPr>
          <w:rFonts w:ascii="Arial" w:cs="Arial" w:eastAsia="Arial" w:hAnsi="Arial"/>
          <w:color w:val="1C2B4A"/>
          <w:sz w:val="22"/>
          <w:szCs w:val="22"/>
        </w:rPr>
        <w:t xml:space="preserve">Goal: Validate core workflow, identify friction points, build 2–3 case studies</w:t>
      </w:r>
    </w:p>
    <w:p>
      <w:pPr>
        <w:spacing w:after="0" w:before="80"/>
      </w:pPr>
      <w:r>
        <w:t xml:space="preserve"/>
      </w:r>
    </w:p>
    <w:p>
      <w:pPr>
        <w:pStyle w:val="Heading3"/>
        <w:spacing w:after="80" w:before="200"/>
      </w:pPr>
      <w:r>
        <w:rPr>
          <w:rFonts w:ascii="Arial" w:cs="Arial" w:eastAsia="Arial" w:hAnsi="Arial"/>
          <w:b/>
          <w:bCs/>
          <w:color w:val="4A5E8C"/>
          <w:sz w:val="22"/>
          <w:szCs w:val="22"/>
        </w:rPr>
        <w:t xml:space="preserve">Phase 2 — Early Revenue (Months 4–9)</w:t>
      </w:r>
    </w:p>
    <w:p>
      <w:pPr>
        <w:pStyle w:val="ListParagraph"/>
        <w:numPr>
          <w:ilvl w:val="0"/>
          <w:numId w:val="2"/>
        </w:numPr>
        <w:spacing w:after="40" w:before="40"/>
      </w:pPr>
      <w:r>
        <w:rPr>
          <w:rFonts w:ascii="Arial" w:cs="Arial" w:eastAsia="Arial" w:hAnsi="Arial"/>
          <w:color w:val="1C2B4A"/>
          <w:sz w:val="22"/>
          <w:szCs w:val="22"/>
        </w:rPr>
        <w:t xml:space="preserve">Target: 15–30 independent practices across cardiology, orthopedics, neurology</w:t>
      </w:r>
    </w:p>
    <w:p>
      <w:pPr>
        <w:pStyle w:val="ListParagraph"/>
        <w:numPr>
          <w:ilvl w:val="0"/>
          <w:numId w:val="2"/>
        </w:numPr>
        <w:spacing w:after="40" w:before="40"/>
      </w:pPr>
      <w:r>
        <w:rPr>
          <w:rFonts w:ascii="Arial" w:cs="Arial" w:eastAsia="Arial" w:hAnsi="Arial"/>
          <w:color w:val="1C2B4A"/>
          <w:sz w:val="22"/>
          <w:szCs w:val="22"/>
        </w:rPr>
        <w:t xml:space="preserve">Sales motion: Referral from Phase 1 champions + conference presence (HRS, ACC, etc.)</w:t>
      </w:r>
    </w:p>
    <w:p>
      <w:pPr>
        <w:pStyle w:val="ListParagraph"/>
        <w:numPr>
          <w:ilvl w:val="0"/>
          <w:numId w:val="2"/>
        </w:numPr>
        <w:spacing w:after="40" w:before="40"/>
      </w:pPr>
      <w:r>
        <w:rPr>
          <w:rFonts w:ascii="Arial" w:cs="Arial" w:eastAsia="Arial" w:hAnsi="Arial"/>
          <w:color w:val="1C2B4A"/>
          <w:sz w:val="22"/>
          <w:szCs w:val="22"/>
        </w:rPr>
        <w:t xml:space="preserve">Pricing: Annual flat fee with seat cap tiers — see Section 5</w:t>
      </w:r>
    </w:p>
    <w:p>
      <w:pPr>
        <w:pStyle w:val="ListParagraph"/>
        <w:numPr>
          <w:ilvl w:val="0"/>
          <w:numId w:val="2"/>
        </w:numPr>
        <w:spacing w:after="40" w:before="40"/>
      </w:pPr>
      <w:r>
        <w:rPr>
          <w:rFonts w:ascii="Arial" w:cs="Arial" w:eastAsia="Arial" w:hAnsi="Arial"/>
          <w:color w:val="1C2B4A"/>
          <w:sz w:val="22"/>
          <w:szCs w:val="22"/>
        </w:rPr>
        <w:t xml:space="preserve">Goal: First $100K ARR, establish compliance reputation</w:t>
      </w:r>
    </w:p>
    <w:p>
      <w:pPr>
        <w:spacing w:after="0" w:before="80"/>
      </w:pPr>
      <w:r>
        <w:t xml:space="preserve"/>
      </w:r>
    </w:p>
    <w:p>
      <w:pPr>
        <w:pStyle w:val="Heading3"/>
        <w:spacing w:after="80" w:before="200"/>
      </w:pPr>
      <w:r>
        <w:rPr>
          <w:rFonts w:ascii="Arial" w:cs="Arial" w:eastAsia="Arial" w:hAnsi="Arial"/>
          <w:b/>
          <w:bCs/>
          <w:color w:val="4A5E8C"/>
          <w:sz w:val="22"/>
          <w:szCs w:val="22"/>
        </w:rPr>
        <w:t xml:space="preserve">Phase 3 — Scale (Month 10+)</w:t>
      </w:r>
    </w:p>
    <w:p>
      <w:pPr>
        <w:pStyle w:val="ListParagraph"/>
        <w:numPr>
          <w:ilvl w:val="0"/>
          <w:numId w:val="2"/>
        </w:numPr>
        <w:spacing w:after="40" w:before="40"/>
      </w:pPr>
      <w:r>
        <w:rPr>
          <w:rFonts w:ascii="Arial" w:cs="Arial" w:eastAsia="Arial" w:hAnsi="Arial"/>
          <w:color w:val="1C2B4A"/>
          <w:sz w:val="22"/>
          <w:szCs w:val="22"/>
        </w:rPr>
        <w:t xml:space="preserve">Target: Specialty groups and community hospitals</w:t>
      </w:r>
    </w:p>
    <w:p>
      <w:pPr>
        <w:pStyle w:val="ListParagraph"/>
        <w:numPr>
          <w:ilvl w:val="0"/>
          <w:numId w:val="2"/>
        </w:numPr>
        <w:spacing w:after="40" w:before="40"/>
      </w:pPr>
      <w:r>
        <w:rPr>
          <w:rFonts w:ascii="Arial" w:cs="Arial" w:eastAsia="Arial" w:hAnsi="Arial"/>
          <w:color w:val="1C2B4A"/>
          <w:sz w:val="22"/>
          <w:szCs w:val="22"/>
        </w:rPr>
        <w:t xml:space="preserve">Sales motion: Dedicated sales hire, inbound from word of mouth</w:t>
      </w:r>
    </w:p>
    <w:p>
      <w:pPr>
        <w:pStyle w:val="ListParagraph"/>
        <w:numPr>
          <w:ilvl w:val="0"/>
          <w:numId w:val="2"/>
        </w:numPr>
        <w:spacing w:after="40" w:before="40"/>
      </w:pPr>
      <w:r>
        <w:rPr>
          <w:rFonts w:ascii="Arial" w:cs="Arial" w:eastAsia="Arial" w:hAnsi="Arial"/>
          <w:color w:val="1C2B4A"/>
          <w:sz w:val="22"/>
          <w:szCs w:val="22"/>
        </w:rPr>
        <w:t xml:space="preserve">Goal: Expand to 100+ organizations, raise seed round</w:t>
      </w:r>
    </w:p>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3. Product Architecture &amp; User Roles</w:t>
      </w:r>
    </w:p>
    <w:p>
      <w:pPr>
        <w:pStyle w:val="Heading2"/>
        <w:spacing w:after="120" w:before="320"/>
      </w:pPr>
      <w:r>
        <w:rPr>
          <w:rFonts w:ascii="Arial" w:cs="Arial" w:eastAsia="Arial" w:hAnsi="Arial"/>
          <w:b/>
          <w:bCs/>
          <w:color w:val="0F3499"/>
          <w:sz w:val="26"/>
          <w:szCs w:val="26"/>
        </w:rPr>
        <w:t xml:space="preserve">3.1  Entity Structure</w:t>
      </w:r>
    </w:p>
    <w:p>
      <w:pPr>
        <w:spacing w:after="80" w:before="60"/>
      </w:pPr>
      <w:r>
        <w:rPr>
          <w:rFonts w:ascii="Arial" w:cs="Arial" w:eastAsia="Arial" w:hAnsi="Arial"/>
          <w:b w:val="false"/>
          <w:bCs w:val="false"/>
          <w:i w:val="false"/>
          <w:iCs w:val="false"/>
          <w:color w:val="1C2B4A"/>
          <w:sz w:val="22"/>
          <w:szCs w:val="22"/>
        </w:rPr>
        <w:t xml:space="preserve">Dox2Dox operates on a three-tier hierarchy: Platform → Organization → Doctor.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2760"/>
      </w:tblGrid>
      <w:tr>
        <w:trPr>
          <w:tblHeader/>
        </w:trPr>
        <w:tc>
          <w:tcPr>
            <w:tcW w:type="dxa" w:w="1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w:t>
            </w:r>
          </w:p>
        </w:tc>
        <w:tc>
          <w:tcPr>
            <w:tcW w:type="dxa" w:w="3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Created By</w:t>
            </w:r>
          </w:p>
        </w:tc>
        <w:tc>
          <w:tcPr>
            <w:tcW w:type="dxa" w:w="27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Platform</w:t>
            </w:r>
          </w:p>
        </w:tc>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Dox2Dox itself — the top-level authority</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Founding team</w:t>
            </w:r>
          </w:p>
        </w:tc>
        <w:tc>
          <w:tcPr>
            <w:tcW w:type="dxa" w:w="27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dox2dox.com</w:t>
            </w:r>
          </w:p>
        </w:tc>
      </w:tr>
      <w:tr>
        <w:tc>
          <w:tcPr>
            <w:tcW w:type="dxa" w:w="1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Organization</w:t>
            </w:r>
          </w:p>
        </w:tc>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 verified hospital, clinic, or practice</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Any doctor (pending verification)</w:t>
            </w:r>
          </w:p>
        </w:tc>
        <w:tc>
          <w:tcPr>
            <w:tcW w:type="dxa" w:w="27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Apollo Cardiology Group, NYC</w:t>
            </w:r>
          </w:p>
        </w:tc>
      </w:tr>
      <w:tr>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 licensed physician within an org</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Self-registration via invite code</w:t>
            </w:r>
          </w:p>
        </w:tc>
        <w:tc>
          <w:tcPr>
            <w:tcW w:type="dxa" w:w="27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Dr. Sarah Chen, Cardiologist</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3.2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They Are</w:t>
            </w:r>
          </w:p>
        </w:tc>
        <w:tc>
          <w:tcPr>
            <w:tcW w:type="dxa" w:w="47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Permissions</w:t>
            </w:r>
          </w:p>
        </w:tc>
      </w:tr>
      <w:tr>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Super Admin</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Dox2Dox founding team</w:t>
            </w:r>
          </w:p>
        </w:tc>
        <w:tc>
          <w:tcPr>
            <w:tcW w:type="dxa" w:w="47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Verify orgs, manage platform, view all organizations</w:t>
            </w:r>
          </w:p>
        </w:tc>
      </w:tr>
      <w:tr>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Admin</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First doctor to create an org (or promoted by Super Admin)</w:t>
            </w:r>
          </w:p>
        </w:tc>
        <w:tc>
          <w:tcPr>
            <w:tcW w:type="dxa" w:w="47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Manage doctors, generate invite codes, org settings</w:t>
            </w:r>
          </w:p>
        </w:tc>
      </w:tr>
      <w:tr>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Any verified physician who joined via invite code</w:t>
            </w:r>
          </w:p>
        </w:tc>
        <w:tc>
          <w:tcPr>
            <w:tcW w:type="dxa" w:w="47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Send/receive messages, voice notes, files within org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Important: Role Simplicity in Phase 1</w:t>
            </w:r>
          </w:p>
          <w:p>
            <w:pPr>
              <w:spacing w:after="40" w:before="40"/>
            </w:pPr>
            <w:r>
              <w:rPr>
                <w:rFonts w:ascii="Arial" w:cs="Arial" w:eastAsia="Arial" w:hAnsi="Arial"/>
                <w:color w:val="1C2B4A"/>
                <w:sz w:val="20"/>
                <w:szCs w:val="20"/>
              </w:rPr>
              <w:t xml:space="preserve">We deliberately keep roles simple for the two-week MVP. No nurse roles, no patient-facing features, no department sub-groups. Two roles only: Org Admin and Doctor. Complexity is added after core workflows are validated.</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3.3  Organization Verification Model</w:t>
      </w:r>
    </w:p>
    <w:p>
      <w:pPr>
        <w:spacing w:after="80" w:before="60"/>
      </w:pPr>
      <w:r>
        <w:rPr>
          <w:rFonts w:ascii="Arial" w:cs="Arial" w:eastAsia="Arial" w:hAnsi="Arial"/>
          <w:b w:val="false"/>
          <w:bCs w:val="false"/>
          <w:i w:val="false"/>
          <w:iCs w:val="false"/>
          <w:color w:val="1C2B4A"/>
          <w:sz w:val="22"/>
          <w:szCs w:val="22"/>
        </w:rPr>
        <w:t xml:space="preserve">Organization verification is the trust backbone of Dox2Dox. Every organization must be verified by the Dox2Dox team before it goes live. This is a one-time process per organization.</w:t>
      </w:r>
    </w:p>
    <w:p>
      <w:pPr>
        <w:spacing w:after="0" w:before="80"/>
      </w:pPr>
      <w:r>
        <w:t xml:space="preserve"/>
      </w:r>
    </w:p>
    <w:p>
      <w:pPr>
        <w:pStyle w:val="Heading3"/>
        <w:spacing w:after="80" w:before="200"/>
      </w:pPr>
      <w:r>
        <w:rPr>
          <w:rFonts w:ascii="Arial" w:cs="Arial" w:eastAsia="Arial" w:hAnsi="Arial"/>
          <w:b/>
          <w:bCs/>
          <w:color w:val="4A5E8C"/>
          <w:sz w:val="22"/>
          <w:szCs w:val="22"/>
        </w:rPr>
        <w:t xml:space="preserve">Verification Flow</w:t>
      </w:r>
    </w:p>
    <w:p>
      <w:pPr>
        <w:pStyle w:val="ListParagraph"/>
        <w:numPr>
          <w:ilvl w:val="0"/>
          <w:numId w:val="2"/>
        </w:numPr>
        <w:spacing w:after="40" w:before="40"/>
      </w:pPr>
      <w:r>
        <w:rPr>
          <w:rFonts w:ascii="Arial" w:cs="Arial" w:eastAsia="Arial" w:hAnsi="Arial"/>
          <w:color w:val="1C2B4A"/>
          <w:sz w:val="22"/>
          <w:szCs w:val="22"/>
        </w:rPr>
        <w:t xml:space="preserve">Step 1: A doctor registers and requests to create a new organization</w:t>
      </w:r>
    </w:p>
    <w:p>
      <w:pPr>
        <w:pStyle w:val="ListParagraph"/>
        <w:numPr>
          <w:ilvl w:val="0"/>
          <w:numId w:val="2"/>
        </w:numPr>
        <w:spacing w:after="40" w:before="40"/>
      </w:pPr>
      <w:r>
        <w:rPr>
          <w:rFonts w:ascii="Arial" w:cs="Arial" w:eastAsia="Arial" w:hAnsi="Arial"/>
          <w:color w:val="1C2B4A"/>
          <w:sz w:val="22"/>
          <w:szCs w:val="22"/>
        </w:rPr>
        <w:t xml:space="preserve">Step 2: Request enters the Dox2Dox internal admin queue (Super Admin panel)</w:t>
      </w:r>
    </w:p>
    <w:p>
      <w:pPr>
        <w:pStyle w:val="ListParagraph"/>
        <w:numPr>
          <w:ilvl w:val="0"/>
          <w:numId w:val="2"/>
        </w:numPr>
        <w:spacing w:after="40" w:before="40"/>
      </w:pPr>
      <w:r>
        <w:rPr>
          <w:rFonts w:ascii="Arial" w:cs="Arial" w:eastAsia="Arial" w:hAnsi="Arial"/>
          <w:color w:val="1C2B4A"/>
          <w:sz w:val="22"/>
          <w:szCs w:val="22"/>
        </w:rPr>
        <w:t xml:space="preserve">Step 3: Dox2Dox team verifies the organization — typically done at the pitch meeting, in-person on a laptop</w:t>
      </w:r>
    </w:p>
    <w:p>
      <w:pPr>
        <w:pStyle w:val="ListParagraph"/>
        <w:numPr>
          <w:ilvl w:val="0"/>
          <w:numId w:val="2"/>
        </w:numPr>
        <w:spacing w:after="40" w:before="40"/>
      </w:pPr>
      <w:r>
        <w:rPr>
          <w:rFonts w:ascii="Arial" w:cs="Arial" w:eastAsia="Arial" w:hAnsi="Arial"/>
          <w:color w:val="1C2B4A"/>
          <w:sz w:val="22"/>
          <w:szCs w:val="22"/>
        </w:rPr>
        <w:t xml:space="preserve">Step 4: Organization is approved and activated. The creating doctor becomes Org Admin automatically</w:t>
      </w:r>
    </w:p>
    <w:p>
      <w:pPr>
        <w:pStyle w:val="ListParagraph"/>
        <w:numPr>
          <w:ilvl w:val="0"/>
          <w:numId w:val="2"/>
        </w:numPr>
        <w:spacing w:after="40" w:before="40"/>
      </w:pPr>
      <w:r>
        <w:rPr>
          <w:rFonts w:ascii="Arial" w:cs="Arial" w:eastAsia="Arial" w:hAnsi="Arial"/>
          <w:color w:val="1C2B4A"/>
          <w:sz w:val="22"/>
          <w:szCs w:val="22"/>
        </w:rPr>
        <w:t xml:space="preserve">Step 5: Org Admin receives a unique invite code to share with colleagues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Verification Criteria (Minimum Bar)</w:t>
            </w:r>
          </w:p>
          <w:p>
            <w:pPr>
              <w:spacing w:after="40" w:before="40"/>
            </w:pPr>
            <w:r>
              <w:rPr>
                <w:rFonts w:ascii="Arial" w:cs="Arial" w:eastAsia="Arial" w:hAnsi="Arial"/>
                <w:color w:val="1C2B4A"/>
                <w:sz w:val="20"/>
                <w:szCs w:val="20"/>
              </w:rPr>
              <w:t xml:space="preserve">• Practice website or Google Maps listing exists</w:t>
            </w:r>
          </w:p>
          <w:p>
            <w:pPr>
              <w:spacing w:after="40" w:before="40"/>
            </w:pPr>
            <w:r>
              <w:rPr>
                <w:rFonts w:ascii="Arial" w:cs="Arial" w:eastAsia="Arial" w:hAnsi="Arial"/>
                <w:color w:val="1C2B4A"/>
                <w:sz w:val="20"/>
                <w:szCs w:val="20"/>
              </w:rPr>
              <w:t xml:space="preserve">• Doctor's NPI (National Provider Identifier) number can be verified via NPI Registry</w:t>
            </w:r>
          </w:p>
          <w:p>
            <w:pPr>
              <w:spacing w:after="40" w:before="40"/>
            </w:pPr>
            <w:r>
              <w:rPr>
                <w:rFonts w:ascii="Arial" w:cs="Arial" w:eastAsia="Arial" w:hAnsi="Arial"/>
                <w:color w:val="1C2B4A"/>
                <w:sz w:val="20"/>
                <w:szCs w:val="20"/>
              </w:rPr>
              <w:t xml:space="preserve">• Org name matches the doctor's affiliated practice</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Note: No government registration number required. No phone call required. This keeps friction low for small independent practices that have minimal digital footprint.</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4. End-to-End Product Flow</w:t>
      </w:r>
    </w:p>
    <w:p>
      <w:pPr>
        <w:pStyle w:val="Heading2"/>
        <w:spacing w:after="120" w:before="320"/>
      </w:pPr>
      <w:r>
        <w:rPr>
          <w:rFonts w:ascii="Arial" w:cs="Arial" w:eastAsia="Arial" w:hAnsi="Arial"/>
          <w:b/>
          <w:bCs/>
          <w:color w:val="0F3499"/>
          <w:sz w:val="26"/>
          <w:szCs w:val="26"/>
        </w:rPr>
        <w:t xml:space="preserve">4.1  Onboarding Flow — New Doctor, New Organization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560"/>
        <w:gridCol w:w="2800"/>
      </w:tblGrid>
      <w:tr>
        <w:trPr>
          <w:tblHeader/>
        </w:trPr>
        <w:tc>
          <w:tcPr>
            <w:tcW w:type="dxa" w:w="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14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45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1</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Downloads Dox2Dox app from App Store / Play Store</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2</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Registers with name, specialty, NPI number, phone number</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Registration screen</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3</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Chooses: Create Organization OR Join with Invite Code</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Org selection screen</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4</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Fills org name, address, practice type</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Create org screen</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5</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System</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Org request enters Dox2Dox admin queue as 'Pending'</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6</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Super Admin</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Reviews and approves org in admin panel (typically in-person at pitch)</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Admin panel</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7</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System</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Org activated. Doctor becomes Org Admin. Invite code generated</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8</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Admin</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Shares invite code with colleagues via WhatsApp / email</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My Org screen</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4.2  Onboarding Flow — Doctor Joining Existing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560"/>
        <w:gridCol w:w="2800"/>
      </w:tblGrid>
      <w:tr>
        <w:trPr>
          <w:tblHeader/>
        </w:trPr>
        <w:tc>
          <w:tcPr>
            <w:tcW w:type="dxa" w:w="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14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45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1</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Downloads app and registers (name, specialty, NPI, phone)</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Registration screen</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2</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Selects 'Join Organization'</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selection screen</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3</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Pastes or types invite code (format: XXXX·0000)</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Join org screen</w:t>
            </w:r>
          </w:p>
        </w:tc>
      </w:tr>
      <w:tr>
        <w:tc>
          <w:tcPr>
            <w:tcW w:type="dxa" w:w="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4</w:t>
            </w:r>
          </w:p>
        </w:tc>
        <w:tc>
          <w:tcPr>
            <w:tcW w:type="dxa" w:w="1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System</w:t>
            </w:r>
          </w:p>
        </w:tc>
        <w:tc>
          <w:tcPr>
            <w:tcW w:type="dxa" w:w="4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Validates code, adds doctor to organization instantly</w:t>
            </w:r>
          </w:p>
        </w:tc>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w:t>
            </w:r>
          </w:p>
        </w:tc>
      </w:tr>
      <w:tr>
        <w:tc>
          <w:tcPr>
            <w:tcW w:type="dxa" w:w="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5</w:t>
            </w:r>
          </w:p>
        </w:tc>
        <w:tc>
          <w:tcPr>
            <w:tcW w:type="dxa" w:w="1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w:t>
            </w:r>
          </w:p>
        </w:tc>
        <w:tc>
          <w:tcPr>
            <w:tcW w:type="dxa" w:w="4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Lands on chat screen, sees org members, can start messaging</w:t>
            </w:r>
          </w:p>
        </w:tc>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Chat list screen</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4.3  Core Messaging Flow</w:t>
      </w:r>
    </w:p>
    <w:p>
      <w:pPr>
        <w:spacing w:after="80" w:before="60"/>
      </w:pPr>
      <w:r>
        <w:rPr>
          <w:rFonts w:ascii="Arial" w:cs="Arial" w:eastAsia="Arial" w:hAnsi="Arial"/>
          <w:b w:val="false"/>
          <w:bCs w:val="false"/>
          <w:i w:val="false"/>
          <w:iCs w:val="false"/>
          <w:color w:val="1C2B4A"/>
          <w:sz w:val="22"/>
          <w:szCs w:val="22"/>
        </w:rPr>
        <w:t xml:space="preserve">Once inside an organization, doctors can communicate through the following message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Message Type</w:t>
            </w:r>
          </w:p>
        </w:tc>
        <w:tc>
          <w:tcPr>
            <w:tcW w:type="dxa" w:w="3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41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Feature</w:t>
            </w:r>
          </w:p>
        </w:tc>
      </w:tr>
      <w:tr>
        <w:tc>
          <w:tcPr>
            <w:tcW w:type="dxa" w:w="22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Text message</w:t>
            </w:r>
          </w:p>
        </w:tc>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Standard chat message</w:t>
            </w:r>
          </w:p>
        </w:tc>
        <w:tc>
          <w:tcPr>
            <w:tcW w:type="dxa" w:w="4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Read receipts (single tick = sent, double tick = delivered, blue = read)</w:t>
            </w:r>
          </w:p>
        </w:tc>
      </w:tr>
      <w:tr>
        <w:tc>
          <w:tcPr>
            <w:tcW w:type="dxa" w:w="22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Voice note</w:t>
            </w:r>
          </w:p>
        </w:tc>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Recorded audio message</w:t>
            </w:r>
          </w:p>
        </w:tc>
        <w:tc>
          <w:tcPr>
            <w:tcW w:type="dxa" w:w="4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Auto-transcription displayed below waveform. Tap to play, read without audio</w:t>
            </w:r>
          </w:p>
        </w:tc>
      </w:tr>
      <w:tr>
        <w:tc>
          <w:tcPr>
            <w:tcW w:type="dxa" w:w="22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Image / Photo</w:t>
            </w:r>
          </w:p>
        </w:tc>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Clinical images, screenshots</w:t>
            </w:r>
          </w:p>
        </w:tc>
        <w:tc>
          <w:tcPr>
            <w:tcW w:type="dxa" w:w="4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In-chat viewer with zoom. Comment thread on image</w:t>
            </w:r>
          </w:p>
        </w:tc>
      </w:tr>
      <w:tr>
        <w:tc>
          <w:tcPr>
            <w:tcW w:type="dxa" w:w="22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File attachment</w:t>
            </w:r>
          </w:p>
        </w:tc>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PDFs, ECGs, reports, scans</w:t>
            </w:r>
          </w:p>
        </w:tc>
        <w:tc>
          <w:tcPr>
            <w:tcW w:type="dxa" w:w="4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In-app preview for PDF. File name and size shown</w:t>
            </w:r>
          </w:p>
        </w:tc>
      </w:tr>
      <w:tr>
        <w:tc>
          <w:tcPr>
            <w:tcW w:type="dxa" w:w="22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Disappearing message</w:t>
            </w:r>
          </w:p>
        </w:tc>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Self-deleting message</w:t>
            </w:r>
          </w:p>
        </w:tc>
        <w:tc>
          <w:tcPr>
            <w:tcW w:type="dxa" w:w="4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Timer options: 24 hours, 7 days, custom. Set per conversation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Voice Note Transcription — Core Differentiator</w:t>
            </w:r>
          </w:p>
          <w:p>
            <w:pPr>
              <w:spacing w:after="40" w:before="40"/>
            </w:pPr>
            <w:r>
              <w:rPr>
                <w:rFonts w:ascii="Arial" w:cs="Arial" w:eastAsia="Arial" w:hAnsi="Arial"/>
                <w:color w:val="1C2B4A"/>
                <w:sz w:val="20"/>
                <w:szCs w:val="20"/>
              </w:rPr>
              <w:t xml:space="preserve">Every voice note sent on Dox2Dox automatically generates a text transcript displayed beneath the audio waveform. Doctors can read the clinical content without playing the audio — critical in noisy clinical environments or when audio is not appropriate.</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This is the single feature that differentiates Dox2Dox from WhatsApp and iMessage in a clinical context.</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4.4  Organization Management Flow</w:t>
      </w:r>
    </w:p>
    <w:p>
      <w:pPr>
        <w:pStyle w:val="Heading3"/>
        <w:spacing w:after="80" w:before="200"/>
      </w:pPr>
      <w:r>
        <w:rPr>
          <w:rFonts w:ascii="Arial" w:cs="Arial" w:eastAsia="Arial" w:hAnsi="Arial"/>
          <w:b/>
          <w:bCs/>
          <w:color w:val="4A5E8C"/>
          <w:sz w:val="22"/>
          <w:szCs w:val="22"/>
        </w:rPr>
        <w:t xml:space="preserve">Admin Actions</w:t>
      </w:r>
    </w:p>
    <w:p>
      <w:pPr>
        <w:pStyle w:val="ListParagraph"/>
        <w:numPr>
          <w:ilvl w:val="0"/>
          <w:numId w:val="2"/>
        </w:numPr>
        <w:spacing w:after="40" w:before="40"/>
      </w:pPr>
      <w:r>
        <w:rPr>
          <w:rFonts w:ascii="Arial" w:cs="Arial" w:eastAsia="Arial" w:hAnsi="Arial"/>
          <w:color w:val="1C2B4A"/>
          <w:sz w:val="22"/>
          <w:szCs w:val="22"/>
        </w:rPr>
        <w:t xml:space="preserve">Generate new invite codes (old codes can be deactivated)</w:t>
      </w:r>
    </w:p>
    <w:p>
      <w:pPr>
        <w:pStyle w:val="ListParagraph"/>
        <w:numPr>
          <w:ilvl w:val="0"/>
          <w:numId w:val="2"/>
        </w:numPr>
        <w:spacing w:after="40" w:before="40"/>
      </w:pPr>
      <w:r>
        <w:rPr>
          <w:rFonts w:ascii="Arial" w:cs="Arial" w:eastAsia="Arial" w:hAnsi="Arial"/>
          <w:color w:val="1C2B4A"/>
          <w:sz w:val="22"/>
          <w:szCs w:val="22"/>
        </w:rPr>
        <w:t xml:space="preserve">View all doctors in the organization with their status and last active time</w:t>
      </w:r>
    </w:p>
    <w:p>
      <w:pPr>
        <w:pStyle w:val="ListParagraph"/>
        <w:numPr>
          <w:ilvl w:val="0"/>
          <w:numId w:val="2"/>
        </w:numPr>
        <w:spacing w:after="40" w:before="40"/>
      </w:pPr>
      <w:r>
        <w:rPr>
          <w:rFonts w:ascii="Arial" w:cs="Arial" w:eastAsia="Arial" w:hAnsi="Arial"/>
          <w:color w:val="1C2B4A"/>
          <w:sz w:val="22"/>
          <w:szCs w:val="22"/>
        </w:rPr>
        <w:t xml:space="preserve">Remove a doctor from the organization</w:t>
      </w:r>
    </w:p>
    <w:p>
      <w:pPr>
        <w:pStyle w:val="ListParagraph"/>
        <w:numPr>
          <w:ilvl w:val="0"/>
          <w:numId w:val="2"/>
        </w:numPr>
        <w:spacing w:after="40" w:before="40"/>
      </w:pPr>
      <w:r>
        <w:rPr>
          <w:rFonts w:ascii="Arial" w:cs="Arial" w:eastAsia="Arial" w:hAnsi="Arial"/>
          <w:color w:val="1C2B4A"/>
          <w:sz w:val="22"/>
          <w:szCs w:val="22"/>
        </w:rPr>
        <w:t xml:space="preserve">View organization invite code at any time</w:t>
      </w:r>
    </w:p>
    <w:p>
      <w:pPr>
        <w:spacing w:after="0" w:before="80"/>
      </w:pPr>
      <w:r>
        <w:t xml:space="preserve"/>
      </w:r>
    </w:p>
    <w:p>
      <w:pPr>
        <w:pStyle w:val="Heading3"/>
        <w:spacing w:after="80" w:before="200"/>
      </w:pPr>
      <w:r>
        <w:rPr>
          <w:rFonts w:ascii="Arial" w:cs="Arial" w:eastAsia="Arial" w:hAnsi="Arial"/>
          <w:b/>
          <w:bCs/>
          <w:color w:val="4A5E8C"/>
          <w:sz w:val="22"/>
          <w:szCs w:val="22"/>
        </w:rPr>
        <w:t xml:space="preserve">Doctor Actions</w:t>
      </w:r>
    </w:p>
    <w:p>
      <w:pPr>
        <w:pStyle w:val="ListParagraph"/>
        <w:numPr>
          <w:ilvl w:val="0"/>
          <w:numId w:val="2"/>
        </w:numPr>
        <w:spacing w:after="40" w:before="40"/>
      </w:pPr>
      <w:r>
        <w:rPr>
          <w:rFonts w:ascii="Arial" w:cs="Arial" w:eastAsia="Arial" w:hAnsi="Arial"/>
          <w:color w:val="1C2B4A"/>
          <w:sz w:val="22"/>
          <w:szCs w:val="22"/>
        </w:rPr>
        <w:t xml:space="preserve">View all doctors in their organization</w:t>
      </w:r>
    </w:p>
    <w:p>
      <w:pPr>
        <w:pStyle w:val="ListParagraph"/>
        <w:numPr>
          <w:ilvl w:val="0"/>
          <w:numId w:val="2"/>
        </w:numPr>
        <w:spacing w:after="40" w:before="40"/>
      </w:pPr>
      <w:r>
        <w:rPr>
          <w:rFonts w:ascii="Arial" w:cs="Arial" w:eastAsia="Arial" w:hAnsi="Arial"/>
          <w:color w:val="1C2B4A"/>
          <w:sz w:val="22"/>
          <w:szCs w:val="22"/>
        </w:rPr>
        <w:t xml:space="preserve">Start a direct message with any org member</w:t>
      </w:r>
    </w:p>
    <w:p>
      <w:pPr>
        <w:pStyle w:val="ListParagraph"/>
        <w:numPr>
          <w:ilvl w:val="0"/>
          <w:numId w:val="2"/>
        </w:numPr>
        <w:spacing w:after="40" w:before="40"/>
      </w:pPr>
      <w:r>
        <w:rPr>
          <w:rFonts w:ascii="Arial" w:cs="Arial" w:eastAsia="Arial" w:hAnsi="Arial"/>
          <w:color w:val="1C2B4A"/>
          <w:sz w:val="22"/>
          <w:szCs w:val="22"/>
        </w:rPr>
        <w:t xml:space="preserve">See real-time presence status: Online, Away, Offline</w:t>
      </w:r>
    </w:p>
    <w:p>
      <w:pPr>
        <w:pStyle w:val="ListParagraph"/>
        <w:numPr>
          <w:ilvl w:val="0"/>
          <w:numId w:val="2"/>
        </w:numPr>
        <w:spacing w:after="40" w:before="40"/>
      </w:pPr>
      <w:r>
        <w:rPr>
          <w:rFonts w:ascii="Arial" w:cs="Arial" w:eastAsia="Arial" w:hAnsi="Arial"/>
          <w:color w:val="1C2B4A"/>
          <w:sz w:val="22"/>
          <w:szCs w:val="22"/>
        </w:rPr>
        <w:t xml:space="preserve">Update own profile: name, specialty, profile photo</w:t>
      </w:r>
    </w:p>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5. HIPAA Compliance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6"/>
              <w:bottom w:val="single" w:color="F59E0B" w:sz="4"/>
              <w:right w:val="single" w:color="F59E0B" w:sz="4"/>
            </w:tcBorders>
            <w:shd w:fill="FEF3C7"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Compliance is Non-Negotiable for US Healthcare B2B</w:t>
            </w:r>
          </w:p>
          <w:p>
            <w:pPr>
              <w:spacing w:after="40" w:before="40"/>
            </w:pPr>
            <w:r>
              <w:rPr>
                <w:rFonts w:ascii="Arial" w:cs="Arial" w:eastAsia="Arial" w:hAnsi="Arial"/>
                <w:color w:val="1C2B4A"/>
                <w:sz w:val="20"/>
                <w:szCs w:val="20"/>
              </w:rPr>
              <w:t xml:space="preserve">Dox2Dox is being built for the United States healthcare market. No US hospital, independent practice, or physician group — regardless of size — will sign a contract for a clinical communication tool without HIPAA compliance and a signed Business Associate Agreement (BAA). This is a legal requirement, not a preference.</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Compliance is therefore treated as a pre-launch requirement, not a future roadmap item.</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5.1  Technical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4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w:t>
            </w:r>
          </w:p>
        </w:tc>
        <w:tc>
          <w:tcPr>
            <w:tcW w:type="dxa" w:w="21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End-to-end encryption</w:t>
            </w:r>
          </w:p>
        </w:tc>
        <w:tc>
          <w:tcPr>
            <w:tcW w:type="dxa" w:w="4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All messages encrypted in transit and at rest</w:t>
            </w:r>
          </w:p>
        </w:tc>
        <w:tc>
          <w:tcPr>
            <w:tcW w:type="dxa" w:w="2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Unique user authentication</w:t>
            </w:r>
          </w:p>
        </w:tc>
        <w:tc>
          <w:tcPr>
            <w:tcW w:type="dxa" w:w="4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Phone number + OTP verification on registration</w:t>
            </w:r>
          </w:p>
        </w:tc>
        <w:tc>
          <w:tcPr>
            <w:tcW w:type="dxa" w:w="2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Automatic logoff</w:t>
            </w:r>
          </w:p>
        </w:tc>
        <w:tc>
          <w:tcPr>
            <w:tcW w:type="dxa" w:w="4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Session timeout after inactivity</w:t>
            </w:r>
          </w:p>
        </w:tc>
        <w:tc>
          <w:tcPr>
            <w:tcW w:type="dxa" w:w="2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Audit logs</w:t>
            </w:r>
          </w:p>
        </w:tc>
        <w:tc>
          <w:tcPr>
            <w:tcW w:type="dxa" w:w="4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All access and message events logged with timestamps</w:t>
            </w:r>
          </w:p>
        </w:tc>
        <w:tc>
          <w:tcPr>
            <w:tcW w:type="dxa" w:w="2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Data backup &amp; recovery</w:t>
            </w:r>
          </w:p>
        </w:tc>
        <w:tc>
          <w:tcPr>
            <w:tcW w:type="dxa" w:w="4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Encrypted backups with defined RTO/RPO</w:t>
            </w:r>
          </w:p>
        </w:tc>
        <w:tc>
          <w:tcPr>
            <w:tcW w:type="dxa" w:w="2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Pre-launch</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Business Associate Agreement (BAA)</w:t>
            </w:r>
          </w:p>
        </w:tc>
        <w:tc>
          <w:tcPr>
            <w:tcW w:type="dxa" w:w="4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Signed with every organizational customer before go-live</w:t>
            </w:r>
          </w:p>
        </w:tc>
        <w:tc>
          <w:tcPr>
            <w:tcW w:type="dxa" w:w="2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Pre-launch</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Data residency</w:t>
            </w:r>
          </w:p>
        </w:tc>
        <w:tc>
          <w:tcPr>
            <w:tcW w:type="dxa" w:w="4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PHI stored on US-based servers (AWS US regions)</w:t>
            </w:r>
          </w:p>
        </w:tc>
        <w:tc>
          <w:tcPr>
            <w:tcW w:type="dxa" w:w="21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Pre-launch</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Disappearing messages</w:t>
            </w:r>
          </w:p>
        </w:tc>
        <w:tc>
          <w:tcPr>
            <w:tcW w:type="dxa" w:w="4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Doctor-controlled message retention</w:t>
            </w:r>
          </w:p>
        </w:tc>
        <w:tc>
          <w:tcPr>
            <w:tcW w:type="dxa" w:w="21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5.2  BAA Strategy</w:t>
      </w:r>
    </w:p>
    <w:p>
      <w:pPr>
        <w:spacing w:after="80" w:before="60"/>
      </w:pPr>
      <w:r>
        <w:rPr>
          <w:rFonts w:ascii="Arial" w:cs="Arial" w:eastAsia="Arial" w:hAnsi="Arial"/>
          <w:b w:val="false"/>
          <w:bCs w:val="false"/>
          <w:i w:val="false"/>
          <w:iCs w:val="false"/>
          <w:color w:val="1C2B4A"/>
          <w:sz w:val="22"/>
          <w:szCs w:val="22"/>
        </w:rPr>
        <w:t xml:space="preserve">A Business Associate Agreement (BAA) is a legal contract required under HIPAA between a covered entity (the hospital/practice) and a business associate (Dox2Dox) that handles Protected Health Information (PHI).</w:t>
      </w:r>
    </w:p>
    <w:p>
      <w:pPr>
        <w:spacing w:after="0" w:before="80"/>
      </w:pPr>
      <w:r>
        <w:t xml:space="preserve"/>
      </w:r>
    </w:p>
    <w:p>
      <w:pPr>
        <w:spacing w:after="80" w:before="60"/>
      </w:pPr>
      <w:r>
        <w:rPr>
          <w:rFonts w:ascii="Arial" w:cs="Arial" w:eastAsia="Arial" w:hAnsi="Arial"/>
          <w:b w:val="false"/>
          <w:bCs w:val="false"/>
          <w:i w:val="false"/>
          <w:iCs w:val="false"/>
          <w:color w:val="1C2B4A"/>
          <w:sz w:val="22"/>
          <w:szCs w:val="22"/>
        </w:rPr>
        <w:t xml:space="preserve">Recommended approach:</w:t>
      </w:r>
    </w:p>
    <w:p>
      <w:pPr>
        <w:pStyle w:val="ListParagraph"/>
        <w:numPr>
          <w:ilvl w:val="0"/>
          <w:numId w:val="2"/>
        </w:numPr>
        <w:spacing w:after="40" w:before="40"/>
      </w:pPr>
      <w:r>
        <w:rPr>
          <w:rFonts w:ascii="Arial" w:cs="Arial" w:eastAsia="Arial" w:hAnsi="Arial"/>
          <w:color w:val="1C2B4A"/>
          <w:sz w:val="22"/>
          <w:szCs w:val="22"/>
        </w:rPr>
        <w:t xml:space="preserve">Engage a US healthcare attorney to draft a standard BAA template — one-time cost, reusable for all customers</w:t>
      </w:r>
    </w:p>
    <w:p>
      <w:pPr>
        <w:pStyle w:val="ListParagraph"/>
        <w:numPr>
          <w:ilvl w:val="0"/>
          <w:numId w:val="2"/>
        </w:numPr>
        <w:spacing w:after="40" w:before="40"/>
      </w:pPr>
      <w:r>
        <w:rPr>
          <w:rFonts w:ascii="Arial" w:cs="Arial" w:eastAsia="Arial" w:hAnsi="Arial"/>
          <w:color w:val="1C2B4A"/>
          <w:sz w:val="22"/>
          <w:szCs w:val="22"/>
        </w:rPr>
        <w:t xml:space="preserve">BAA is presented and signed digitally before org activation — DocuSign or similar</w:t>
      </w:r>
    </w:p>
    <w:p>
      <w:pPr>
        <w:pStyle w:val="ListParagraph"/>
        <w:numPr>
          <w:ilvl w:val="0"/>
          <w:numId w:val="2"/>
        </w:numPr>
        <w:spacing w:after="40" w:before="40"/>
      </w:pPr>
      <w:r>
        <w:rPr>
          <w:rFonts w:ascii="Arial" w:cs="Arial" w:eastAsia="Arial" w:hAnsi="Arial"/>
          <w:color w:val="1C2B4A"/>
          <w:sz w:val="22"/>
          <w:szCs w:val="22"/>
        </w:rPr>
        <w:t xml:space="preserve">Every organizational customer signs a BAA. No exceptions. This is the legal foundation of the business</w:t>
      </w:r>
    </w:p>
    <w:p>
      <w:pPr>
        <w:pStyle w:val="ListParagraph"/>
        <w:numPr>
          <w:ilvl w:val="0"/>
          <w:numId w:val="2"/>
        </w:numPr>
        <w:spacing w:after="40" w:before="40"/>
      </w:pPr>
      <w:r>
        <w:rPr>
          <w:rFonts w:ascii="Arial" w:cs="Arial" w:eastAsia="Arial" w:hAnsi="Arial"/>
          <w:color w:val="1C2B4A"/>
          <w:sz w:val="22"/>
          <w:szCs w:val="22"/>
        </w:rPr>
        <w:t xml:space="preserve">BAA should be reviewed before the first external pitch to a US practice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6"/>
              <w:bottom w:val="single" w:color="F59E0B" w:sz="4"/>
              <w:right w:val="single" w:color="F59E0B" w:sz="4"/>
            </w:tcBorders>
            <w:shd w:fill="FEF3C7"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Action Item — Immediate</w:t>
            </w:r>
          </w:p>
          <w:p>
            <w:pPr>
              <w:spacing w:after="40" w:before="40"/>
            </w:pPr>
            <w:r>
              <w:rPr>
                <w:rFonts w:ascii="Arial" w:cs="Arial" w:eastAsia="Arial" w:hAnsi="Arial"/>
                <w:color w:val="1C2B4A"/>
                <w:sz w:val="20"/>
                <w:szCs w:val="20"/>
              </w:rPr>
              <w:t xml:space="preserve">Engage a US healthcare attorney before the first external customer pitch. A BAA template typically costs $2,000–5,000 to draft. Without it, the business cannot legally operate in the US healthcare market.</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This is the single most important non-product action item for the founding team.</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6. Pricing Model</w:t>
      </w:r>
    </w:p>
    <w:p>
      <w:pPr>
        <w:pStyle w:val="Heading2"/>
        <w:spacing w:after="120" w:before="320"/>
      </w:pPr>
      <w:r>
        <w:rPr>
          <w:rFonts w:ascii="Arial" w:cs="Arial" w:eastAsia="Arial" w:hAnsi="Arial"/>
          <w:b/>
          <w:bCs/>
          <w:color w:val="0F3499"/>
          <w:sz w:val="26"/>
          <w:szCs w:val="26"/>
        </w:rPr>
        <w:t xml:space="preserve">6.1  Model Overview</w:t>
      </w:r>
    </w:p>
    <w:p>
      <w:pPr>
        <w:spacing w:after="80" w:before="60"/>
      </w:pPr>
      <w:r>
        <w:rPr>
          <w:rFonts w:ascii="Arial" w:cs="Arial" w:eastAsia="Arial" w:hAnsi="Arial"/>
          <w:b w:val="false"/>
          <w:bCs w:val="false"/>
          <w:i w:val="false"/>
          <w:iCs w:val="false"/>
          <w:color w:val="1C2B4A"/>
          <w:sz w:val="22"/>
          <w:szCs w:val="22"/>
        </w:rPr>
        <w:t xml:space="preserve">Dox2Dox operates on an annual flat-fee enterprise license with seat caps. The seat cap defines the maximum number of doctors who can be active in the organization. Pricing is simple, transparent, and easy to present at a pitch meeting.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Seat Cap</w:t>
            </w:r>
          </w:p>
        </w:tc>
        <w:tc>
          <w:tcPr>
            <w:tcW w:type="dxa" w:w="24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Price (USD)</w:t>
            </w:r>
          </w:p>
        </w:tc>
        <w:tc>
          <w:tcPr>
            <w:tcW w:type="dxa" w:w="35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Ideal For</w:t>
            </w:r>
          </w:p>
        </w:tc>
      </w:tr>
      <w:tr>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Starter</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Up to 10 doctors</w:t>
            </w:r>
          </w:p>
        </w:tc>
        <w:tc>
          <w:tcPr>
            <w:tcW w:type="dxa" w:w="2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TBD</w:t>
            </w:r>
          </w:p>
        </w:tc>
        <w:tc>
          <w:tcPr>
            <w:tcW w:type="dxa" w:w="3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Solo practices, small specialty groups</w:t>
            </w:r>
          </w:p>
        </w:tc>
      </w:tr>
      <w:tr>
        <w:tc>
          <w:tcPr>
            <w:tcW w:type="dxa" w:w="1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Growth</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Up to 25 doctors</w:t>
            </w:r>
          </w:p>
        </w:tc>
        <w:tc>
          <w:tcPr>
            <w:tcW w:type="dxa" w:w="2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TBD</w:t>
            </w:r>
          </w:p>
        </w:tc>
        <w:tc>
          <w:tcPr>
            <w:tcW w:type="dxa" w:w="3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Mid-size independent practices</w:t>
            </w:r>
          </w:p>
        </w:tc>
      </w:tr>
      <w:tr>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Practice</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Up to 75 doctors</w:t>
            </w:r>
          </w:p>
        </w:tc>
        <w:tc>
          <w:tcPr>
            <w:tcW w:type="dxa" w:w="24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TBD</w:t>
            </w:r>
          </w:p>
        </w:tc>
        <w:tc>
          <w:tcPr>
            <w:tcW w:type="dxa" w:w="3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Large specialty groups</w:t>
            </w:r>
          </w:p>
        </w:tc>
      </w:tr>
      <w:tr>
        <w:tc>
          <w:tcPr>
            <w:tcW w:type="dxa" w:w="1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Enterprise</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75+ doctors (custom)</w:t>
            </w:r>
          </w:p>
        </w:tc>
        <w:tc>
          <w:tcPr>
            <w:tcW w:type="dxa" w:w="24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Custom quote</w:t>
            </w:r>
          </w:p>
        </w:tc>
        <w:tc>
          <w:tcPr>
            <w:tcW w:type="dxa" w:w="3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Community hospitals, large groups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Pricing Note</w:t>
            </w:r>
          </w:p>
          <w:p>
            <w:pPr>
              <w:spacing w:after="40" w:before="40"/>
            </w:pPr>
            <w:r>
              <w:rPr>
                <w:rFonts w:ascii="Arial" w:cs="Arial" w:eastAsia="Arial" w:hAnsi="Arial"/>
                <w:color w:val="1C2B4A"/>
                <w:sz w:val="20"/>
                <w:szCs w:val="20"/>
              </w:rPr>
              <w:t xml:space="preserve">Specific price points have not yet been set. They should be determined after the first 3–5 customer discovery conversations with US independent practice owners. The goal is to anchor pricing to value (faster consults, reduced liability, HIPAA compliance) rather than cost. Comparable tools in the market range from $3,000–$25,000 per year for independent practices.</w:t>
            </w:r>
          </w:p>
        </w:tc>
      </w:tr>
    </w:tbl>
    <w:p>
      <w:pPr>
        <w:spacing w:after="0" w:before="120"/>
      </w:pPr>
      <w:r>
        <w:t xml:space="preserve"/>
      </w:r>
    </w:p>
    <w:p>
      <w:pPr>
        <w:pStyle w:val="Heading2"/>
        <w:spacing w:after="120" w:before="320"/>
      </w:pPr>
      <w:r>
        <w:rPr>
          <w:rFonts w:ascii="Arial" w:cs="Arial" w:eastAsia="Arial" w:hAnsi="Arial"/>
          <w:b/>
          <w:bCs/>
          <w:color w:val="0F3499"/>
          <w:sz w:val="26"/>
          <w:szCs w:val="26"/>
        </w:rPr>
        <w:t xml:space="preserve">6.2  Phase 1 Pricing — Pilot Program</w:t>
      </w:r>
    </w:p>
    <w:p>
      <w:pPr>
        <w:spacing w:after="80" w:before="60"/>
      </w:pPr>
      <w:r>
        <w:rPr>
          <w:rFonts w:ascii="Arial" w:cs="Arial" w:eastAsia="Arial" w:hAnsi="Arial"/>
          <w:b w:val="false"/>
          <w:bCs w:val="false"/>
          <w:i w:val="false"/>
          <w:iCs w:val="false"/>
          <w:color w:val="1C2B4A"/>
          <w:sz w:val="22"/>
          <w:szCs w:val="22"/>
        </w:rPr>
        <w:t xml:space="preserve">For the first 3–5 pilot organizations (Phase 1), Dox2Dox will offer a free pilot in exchange for:</w:t>
      </w:r>
    </w:p>
    <w:p>
      <w:pPr>
        <w:pStyle w:val="ListParagraph"/>
        <w:numPr>
          <w:ilvl w:val="0"/>
          <w:numId w:val="2"/>
        </w:numPr>
        <w:spacing w:after="40" w:before="40"/>
      </w:pPr>
      <w:r>
        <w:rPr>
          <w:rFonts w:ascii="Arial" w:cs="Arial" w:eastAsia="Arial" w:hAnsi="Arial"/>
          <w:color w:val="1C2B4A"/>
          <w:sz w:val="22"/>
          <w:szCs w:val="22"/>
        </w:rPr>
        <w:t xml:space="preserve">Weekly feedback sessions with the founding team</w:t>
      </w:r>
    </w:p>
    <w:p>
      <w:pPr>
        <w:pStyle w:val="ListParagraph"/>
        <w:numPr>
          <w:ilvl w:val="0"/>
          <w:numId w:val="2"/>
        </w:numPr>
        <w:spacing w:after="40" w:before="40"/>
      </w:pPr>
      <w:r>
        <w:rPr>
          <w:rFonts w:ascii="Arial" w:cs="Arial" w:eastAsia="Arial" w:hAnsi="Arial"/>
          <w:color w:val="1C2B4A"/>
          <w:sz w:val="22"/>
          <w:szCs w:val="22"/>
        </w:rPr>
        <w:t xml:space="preserve">Written testimonial or case study after 60 days of use</w:t>
      </w:r>
    </w:p>
    <w:p>
      <w:pPr>
        <w:pStyle w:val="ListParagraph"/>
        <w:numPr>
          <w:ilvl w:val="0"/>
          <w:numId w:val="2"/>
        </w:numPr>
        <w:spacing w:after="40" w:before="40"/>
      </w:pPr>
      <w:r>
        <w:rPr>
          <w:rFonts w:ascii="Arial" w:cs="Arial" w:eastAsia="Arial" w:hAnsi="Arial"/>
          <w:color w:val="1C2B4A"/>
          <w:sz w:val="22"/>
          <w:szCs w:val="22"/>
        </w:rPr>
        <w:t xml:space="preserve">Permission to use the organization as a reference for future prospects</w:t>
      </w:r>
    </w:p>
    <w:p>
      <w:pPr>
        <w:spacing w:after="0" w:before="80"/>
      </w:pPr>
      <w:r>
        <w:t xml:space="preserve"/>
      </w:r>
    </w:p>
    <w:p>
      <w:pPr>
        <w:spacing w:after="80" w:before="60"/>
      </w:pPr>
      <w:r>
        <w:rPr>
          <w:rFonts w:ascii="Arial" w:cs="Arial" w:eastAsia="Arial" w:hAnsi="Arial"/>
          <w:b w:val="false"/>
          <w:bCs w:val="false"/>
          <w:i w:val="false"/>
          <w:iCs w:val="false"/>
          <w:color w:val="1C2B4A"/>
          <w:sz w:val="22"/>
          <w:szCs w:val="22"/>
        </w:rPr>
        <w:t xml:space="preserve">Pilot organizations will be offered a discounted Year 1 rate when they convert to paid — as a reward for early adoption.</w:t>
      </w:r>
    </w:p>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7. Screen Inventory — MVP Scope</w:t>
      </w:r>
    </w:p>
    <w:p>
      <w:pPr>
        <w:spacing w:after="80" w:before="60"/>
      </w:pPr>
      <w:r>
        <w:rPr>
          <w:rFonts w:ascii="Arial" w:cs="Arial" w:eastAsia="Arial" w:hAnsi="Arial"/>
          <w:b w:val="false"/>
          <w:bCs w:val="false"/>
          <w:i w:val="false"/>
          <w:iCs w:val="false"/>
          <w:color w:val="1C2B4A"/>
          <w:sz w:val="22"/>
          <w:szCs w:val="22"/>
        </w:rPr>
        <w:t xml:space="preserve">The following screens constitute the two-week MVP delivery. All screens follow the Dox2Dox design system (light theme, Sora + DM Sans typography, medical blue #1A56DB primary color).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4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9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Splash / Onboarding</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App intro, value proposition, CTA to register</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Registration</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Name, specialty, NPI number, phone, OTP verification</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Org Selection</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Choose between Create Organization or Join with Code</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Create Organization</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name, address, practice type, submit for verification</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Join Organization</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Paste invite code field, validate and join instantly</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Pending Verification</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Holding screen while org awaits Super Admin approval</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Chat List</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All conversations sorted by most recent, unread badges, presence status</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Chat Thread</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Full conversation: text bubbles, voice notes with transcript, file attachments</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Voice Note Recording</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Hold-to-record interface with waveform visualization</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My Org</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List of all doctors in org, their specialty and status</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Doctor Profile</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Name, specialty, status, start chat button</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Admin Panel (in-app)</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Invite code display, doctor management, remove doctor</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Settings</w:t>
            </w:r>
          </w:p>
        </w:tc>
        <w:tc>
          <w:tcPr>
            <w:tcW w:type="dxa" w:w="4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Profile edit, notification preferences, logout</w:t>
            </w:r>
          </w:p>
        </w:tc>
        <w:tc>
          <w:tcPr>
            <w:tcW w:type="dxa" w:w="1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MVP</w:t>
            </w:r>
          </w:p>
        </w:tc>
      </w:tr>
      <w:tr>
        <w:tc>
          <w:tcPr>
            <w:tcW w:type="dxa" w:w="2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Super Admin Panel (web)</w:t>
            </w:r>
          </w:p>
        </w:tc>
        <w:tc>
          <w:tcPr>
            <w:tcW w:type="dxa" w:w="4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Org verification queue, approve/reject, manage all orgs</w:t>
            </w:r>
          </w:p>
        </w:tc>
        <w:tc>
          <w:tcPr>
            <w:tcW w:type="dxa" w:w="1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MVP</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8.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6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59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Deliverables</w:t>
            </w:r>
          </w:p>
        </w:tc>
      </w:tr>
      <w:tr>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Phase 0 — Internal MVP</w:t>
            </w:r>
          </w:p>
        </w:tc>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Week 1–2</w:t>
            </w:r>
          </w:p>
        </w:tc>
        <w:tc>
          <w:tcPr>
            <w:tcW w:type="dxa" w:w="5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Registration, org join/create, direct messaging, voice notes with transcript, basic file sharing, Super Admin web panel</w:t>
            </w:r>
          </w:p>
        </w:tc>
      </w:tr>
      <w:tr>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Phase 1 — Pilot Launch</w:t>
            </w:r>
          </w:p>
        </w:tc>
        <w:tc>
          <w:tcPr>
            <w:tcW w:type="dxa" w:w="1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Month 1–3</w:t>
            </w:r>
          </w:p>
        </w:tc>
        <w:tc>
          <w:tcPr>
            <w:tcW w:type="dxa" w:w="5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Pilot with 3–5 US practices, HIPAA compliance baseline, BAA signed with first customers, bug fixes from real usage, disappearing messages</w:t>
            </w:r>
          </w:p>
        </w:tc>
      </w:tr>
      <w:tr>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Phase 2 — Early Revenue</w:t>
            </w:r>
          </w:p>
        </w:tc>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Month 4–9</w:t>
            </w:r>
          </w:p>
        </w:tc>
        <w:tc>
          <w:tcPr>
            <w:tcW w:type="dxa" w:w="5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Paid tier launch, push notifications, read receipts, image commenting, Wi-Fi printing, conference presence (HRS, ACC)</w:t>
            </w:r>
          </w:p>
        </w:tc>
      </w:tr>
      <w:tr>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Phase 3 — Growth</w:t>
            </w:r>
          </w:p>
        </w:tc>
        <w:tc>
          <w:tcPr>
            <w:tcW w:type="dxa" w:w="16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Month 10–18</w:t>
            </w:r>
          </w:p>
        </w:tc>
        <w:tc>
          <w:tcPr>
            <w:tcW w:type="dxa" w:w="59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Group messaging within org, search across messages, advanced admin controls, audit log export, SOC 2 Type I</w:t>
            </w:r>
          </w:p>
        </w:tc>
      </w:tr>
      <w:tr>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Phase 4 — Enterprise</w:t>
            </w:r>
          </w:p>
        </w:tc>
        <w:tc>
          <w:tcPr>
            <w:tcW w:type="dxa" w:w="16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Month 18+</w:t>
            </w:r>
          </w:p>
        </w:tc>
        <w:tc>
          <w:tcPr>
            <w:tcW w:type="dxa" w:w="59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EMR integration hooks, SSO/SAML, dedicated infrastructure per org, SOC 2 Type II, FedRAMP exploration</w:t>
            </w:r>
          </w:p>
        </w:tc>
      </w:tr>
    </w:tbl>
    <w:p>
      <w:r>
        <w:br w:type="page"/>
      </w:r>
    </w:p>
    <w:p>
      <w:pPr>
        <w:pStyle w:val="Heading1"/>
        <w:pBdr>
          <w:bottom w:val="single" w:color="1A56DB" w:sz="8" w:space="6"/>
        </w:pBdr>
        <w:spacing w:after="160" w:before="400"/>
      </w:pPr>
      <w:r>
        <w:rPr>
          <w:rFonts w:ascii="Arial" w:cs="Arial" w:eastAsia="Arial" w:hAnsi="Arial"/>
          <w:b/>
          <w:bCs/>
          <w:color w:val="1C2B4A"/>
          <w:sz w:val="32"/>
          <w:szCs w:val="32"/>
        </w:rPr>
        <w:t xml:space="preserve">9. Immediate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8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00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Deadline</w:t>
            </w:r>
          </w:p>
        </w:tc>
        <w:tc>
          <w:tcPr>
            <w:tcW w:type="dxa" w:w="2560"/>
            <w:tcBorders>
              <w:top w:val="single" w:color="D6DDF0" w:sz="1"/>
              <w:left w:val="single" w:color="D6DDF0" w:sz="1"/>
              <w:bottom w:val="single" w:color="D6DDF0" w:sz="1"/>
              <w:right w:val="single" w:color="D6DDF0" w:sz="1"/>
            </w:tcBorders>
            <w:shd w:fill="1A56DB"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Deliver MVP app (registration, messaging, voice notes)</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Lokesh</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2 weeks</w:t>
            </w:r>
          </w:p>
        </w:tc>
        <w:tc>
          <w:tcPr>
            <w:tcW w:type="dxa" w:w="2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Follow design system. Prioritize voice note transcript feature</w:t>
            </w:r>
          </w:p>
        </w:tc>
      </w:tr>
      <w:tr>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Post development update to WhatsApp group</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Lokesh</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This week</w:t>
            </w:r>
          </w:p>
        </w:tc>
        <w:tc>
          <w:tcPr>
            <w:tcW w:type="dxa" w:w="2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Share timeline and feature scope</w:t>
            </w:r>
          </w:p>
        </w:tc>
      </w:tr>
      <w:tr>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Engage US healthcare attorney for BAA template</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DJ / Dr. Vimal</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Before first external pitch</w:t>
            </w:r>
          </w:p>
        </w:tc>
        <w:tc>
          <w:tcPr>
            <w:tcW w:type="dxa" w:w="2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Budget: $2,000–5,000. Non-negotiable for US market</w:t>
            </w:r>
          </w:p>
        </w:tc>
      </w:tr>
      <w:tr>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Set up LLC (US entity)</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DJ</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ASAP</w:t>
            </w:r>
          </w:p>
        </w:tc>
        <w:tc>
          <w:tcPr>
            <w:tcW w:type="dxa" w:w="2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Required before signing any customer contracts</w:t>
            </w:r>
          </w:p>
        </w:tc>
      </w:tr>
      <w:tr>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Set up AWS US infrastructure</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Lokesh</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Before pilot launch</w:t>
            </w:r>
          </w:p>
        </w:tc>
        <w:tc>
          <w:tcPr>
            <w:tcW w:type="dxa" w:w="2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Must use US regions for PHI data residency compliance</w:t>
            </w:r>
          </w:p>
        </w:tc>
      </w:tr>
      <w:tr>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Conduct pilot testing with mock patients</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Dr. Vimal + Dr. Nanavati</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After 2-week delivery</w:t>
            </w:r>
          </w:p>
        </w:tc>
        <w:tc>
          <w:tcPr>
            <w:tcW w:type="dxa" w:w="2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Use test labels: Patient X, Test A. No real PHI</w:t>
            </w:r>
          </w:p>
        </w:tc>
      </w:tr>
      <w:tr>
        <w:tc>
          <w:tcPr>
            <w:tcW w:type="dxa" w:w="3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Identify 3 pilot practice targets in USA</w:t>
            </w:r>
          </w:p>
        </w:tc>
        <w:tc>
          <w:tcPr>
            <w:tcW w:type="dxa" w:w="18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Dr. Vimal</w:t>
            </w:r>
          </w:p>
        </w:tc>
        <w:tc>
          <w:tcPr>
            <w:tcW w:type="dxa" w:w="200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Month 1</w:t>
            </w:r>
          </w:p>
        </w:tc>
        <w:tc>
          <w:tcPr>
            <w:tcW w:type="dxa" w:w="2560"/>
            <w:tcBorders>
              <w:top w:val="single" w:color="D6DDF0" w:sz="1"/>
              <w:left w:val="single" w:color="D6DDF0" w:sz="1"/>
              <w:bottom w:val="single" w:color="D6DDF0" w:sz="1"/>
              <w:right w:val="single" w:color="D6DDF0" w:sz="1"/>
            </w:tcBorders>
            <w:shd w:fill="FFFFFF" w:val="clear"/>
            <w:tcMar>
              <w:top w:type="dxa" w:w="80"/>
              <w:left w:type="dxa" w:w="140"/>
              <w:bottom w:type="dxa" w:w="80"/>
              <w:right w:type="dxa" w:w="140"/>
            </w:tcMar>
          </w:tcPr>
          <w:p>
            <w:r>
              <w:rPr>
                <w:rFonts w:ascii="Arial" w:cs="Arial" w:eastAsia="Arial" w:hAnsi="Arial"/>
                <w:color w:val="1C2B4A"/>
                <w:sz w:val="20"/>
                <w:szCs w:val="20"/>
              </w:rPr>
              <w:t xml:space="preserve">Leverage existing cardiology network</w:t>
            </w:r>
          </w:p>
        </w:tc>
      </w:tr>
      <w:tr>
        <w:tc>
          <w:tcPr>
            <w:tcW w:type="dxa" w:w="3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Begin weekly team meetings post-delivery</w:t>
            </w:r>
          </w:p>
        </w:tc>
        <w:tc>
          <w:tcPr>
            <w:tcW w:type="dxa" w:w="18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All</w:t>
            </w:r>
          </w:p>
        </w:tc>
        <w:tc>
          <w:tcPr>
            <w:tcW w:type="dxa" w:w="200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After 2-week delivery</w:t>
            </w:r>
          </w:p>
        </w:tc>
        <w:tc>
          <w:tcPr>
            <w:tcW w:type="dxa" w:w="2560"/>
            <w:tcBorders>
              <w:top w:val="single" w:color="D6DDF0" w:sz="1"/>
              <w:left w:val="single" w:color="D6DDF0" w:sz="1"/>
              <w:bottom w:val="single" w:color="D6DDF0" w:sz="1"/>
              <w:right w:val="single" w:color="D6DDF0" w:sz="1"/>
            </w:tcBorders>
            <w:shd w:fill="F8FAFD" w:val="clear"/>
            <w:tcMar>
              <w:top w:type="dxa" w:w="80"/>
              <w:left w:type="dxa" w:w="140"/>
              <w:bottom w:type="dxa" w:w="80"/>
              <w:right w:type="dxa" w:w="140"/>
            </w:tcMar>
          </w:tcPr>
          <w:p>
            <w:r>
              <w:rPr>
                <w:rFonts w:ascii="Arial" w:cs="Arial" w:eastAsia="Arial" w:hAnsi="Arial"/>
                <w:color w:val="1C2B4A"/>
                <w:sz w:val="20"/>
                <w:szCs w:val="20"/>
              </w:rPr>
              <w:t xml:space="preserve">Bug tracking, issue resolution, roadmap prioritization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6"/>
              <w:bottom w:val="single" w:color="1A56DB" w:sz="4"/>
              <w:right w:val="single" w:color="1A56DB" w:sz="4"/>
            </w:tcBorders>
            <w:shd w:fill="EBF3FF" w:val="clear"/>
            <w:tcMar>
              <w:top w:type="dxa" w:w="120"/>
              <w:left w:type="dxa" w:w="200"/>
              <w:bottom w:type="dxa" w:w="120"/>
              <w:right w:type="dxa" w:w="200"/>
            </w:tcMar>
          </w:tcPr>
          <w:p>
            <w:pPr>
              <w:spacing w:after="80" w:before="0"/>
            </w:pPr>
            <w:r>
              <w:rPr>
                <w:rFonts w:ascii="Arial" w:cs="Arial" w:eastAsia="Arial" w:hAnsi="Arial"/>
                <w:b/>
                <w:bCs/>
                <w:color w:val="0F3499"/>
                <w:sz w:val="20"/>
                <w:szCs w:val="20"/>
              </w:rPr>
              <w:t xml:space="preserve">Final Note from Co-Founders</w:t>
            </w:r>
          </w:p>
          <w:p>
            <w:pPr>
              <w:spacing w:after="40" w:before="40"/>
            </w:pPr>
            <w:r>
              <w:rPr>
                <w:rFonts w:ascii="Arial" w:cs="Arial" w:eastAsia="Arial" w:hAnsi="Arial"/>
                <w:color w:val="1C2B4A"/>
                <w:sz w:val="20"/>
                <w:szCs w:val="20"/>
              </w:rPr>
              <w:t xml:space="preserve">Dox2Dox addresses a real, urgent, and legally exposed problem in US healthcare. Doctors are already communicating patient data over insecure channels every single day. We are not creating demand — we are meeting it with a compliant, purpose-built alternative.</w:t>
            </w:r>
          </w:p>
          <w:p>
            <w:pPr>
              <w:spacing w:after="40" w:before="40"/>
            </w:pPr>
            <w:r>
              <w:rPr>
                <w:rFonts w:ascii="Arial" w:cs="Arial" w:eastAsia="Arial" w:hAnsi="Arial"/>
                <w:color w:val="1C2B4A"/>
                <w:sz w:val="20"/>
                <w:szCs w:val="20"/>
              </w:rPr>
              <w:t xml:space="preserve"/>
            </w:r>
          </w:p>
          <w:p>
            <w:pPr>
              <w:spacing w:after="40" w:before="40"/>
            </w:pPr>
            <w:r>
              <w:rPr>
                <w:rFonts w:ascii="Arial" w:cs="Arial" w:eastAsia="Arial" w:hAnsi="Arial"/>
                <w:color w:val="1C2B4A"/>
                <w:sz w:val="20"/>
                <w:szCs w:val="20"/>
              </w:rPr>
              <w:t xml:space="preserve">The two-week MVP is not the product. It is the evidence. The evidence that we can build, that the workflow works, and that doctors will use it. Everything after that is iteration.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F2F8" w:sz="4" w:space="4"/>
      </w:pBdr>
      <w:tabs>
        <w:tab w:val="right" w:pos="9026"/>
      </w:tabs>
      <w:spacing w:after="0" w:before="120"/>
    </w:pPr>
    <w:r>
      <w:rPr>
        <w:rFonts w:ascii="Arial" w:cs="Arial" w:eastAsia="Arial" w:hAnsi="Arial"/>
        <w:color w:val="8A9CC4"/>
        <w:sz w:val="16"/>
        <w:szCs w:val="16"/>
      </w:rPr>
      <w:t xml:space="preserve">© 2026 Dox2Dox. All rights reserved.</w:t>
    </w:r>
    <w:r>
      <w:rPr>
        <w:rFonts w:ascii="Arial" w:cs="Arial" w:eastAsia="Arial" w:hAnsi="Arial"/>
        <w:color w:val="8A9CC4"/>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b/>
        <w:bCs/>
        <w:color w:val="1A56DB"/>
        <w:sz w:val="18"/>
        <w:szCs w:val="18"/>
      </w:rPr>
      <w:t xml:space="preserve">Dox2Dox</w:t>
    </w:r>
    <w:r>
      <w:rPr>
        <w:rFonts w:ascii="Arial" w:cs="Arial" w:eastAsia="Arial" w:hAnsi="Arial"/>
        <w:color w:val="8A9CC4"/>
        <w:sz w:val="18"/>
        <w:szCs w:val="18"/>
      </w:rPr>
      <w:t xml:space="preserve">   |   Business Flow &amp; Product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2B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9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2026-05-03T05:48:17.993Z</dcterms:created>
  <dcterms:modified xsi:type="dcterms:W3CDTF">2026-05-03T05:48:17.993Z</dcterms:modified>
</cp:coreProperties>
</file>

<file path=docProps/custom.xml><?xml version="1.0" encoding="utf-8"?>
<Properties xmlns="http://schemas.openxmlformats.org/officeDocument/2006/custom-properties" xmlns:vt="http://schemas.openxmlformats.org/officeDocument/2006/docPropsVTypes"/>
</file>