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Space Optical Communications (DSOC) Architecture</w:t>
      </w:r>
    </w:p>
    <w:p>
      <w:r>
        <w:t>The Deep Space Optical Communications (DSOC) system demonstrated near-infrared laser communications over interplanetary distances from NASA Psyche spacecraft.</w:t>
      </w:r>
    </w:p>
    <w:p>
      <w:pPr>
        <w:pStyle w:val="Heading2"/>
      </w:pPr>
      <w:r>
        <w:t>Flight Laser Transceiver Specifications</w:t>
      </w:r>
    </w:p>
    <w:p>
      <w:r>
        <w:t>Operating at a downlink wavelength of 1550 nm, the 22-centimeter aperture flight laser transceiver achieved downlink data rates of 267 Mbps from 0.22 AU (33 million km) and sustained 25 Mbps at Mars maximum distance (2.7 AU, 390 million km).</w:t>
      </w:r>
    </w:p>
    <w:p>
      <w:pPr>
        <w:pStyle w:val="Heading2"/>
      </w:pPr>
      <w:r>
        <w:t>Ground Reception Architecture</w:t>
      </w:r>
    </w:p>
    <w:p>
      <w:r>
        <w:t>Downlink laser signals were collected at Caltech Palomar Observatory using the 5.1-meter Hale Telescope equipped with cryogenic superconducting nanowire single-photon detector (SNSPD) arrays operating at 1.0 Kelvin.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