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240"/>
        <w:jc w:val="center"/>
      </w:pPr>
      <w:r>
        <w:rPr>
          <w:rFonts w:ascii="Arial" w:cs="Arial" w:eastAsia="Arial" w:hAnsi="Arial"/>
          <w:b/>
          <w:bCs/>
          <w:color w:val="1A237E"/>
          <w:sz w:val="52"/>
          <w:szCs w:val="52"/>
        </w:rPr>
        <w:t xml:space="preserve">BANK LOAN DEFAULT RISK ANALYSIS</w:t>
      </w:r>
    </w:p>
    <w:p>
      <w:pPr>
        <w:spacing w:after="120"/>
        <w:jc w:val="center"/>
      </w:pPr>
      <w:r>
        <w:rPr>
          <w:rFonts w:ascii="Arial" w:cs="Arial" w:eastAsia="Arial" w:hAnsi="Arial"/>
          <w:color w:val="1565C0"/>
          <w:sz w:val="28"/>
          <w:szCs w:val="28"/>
        </w:rPr>
        <w:t xml:space="preserve">Credit Risk Analytics  ·  PD Modeling  ·  Basel III / IFRS 9 Framework</w:t>
      </w:r>
    </w:p>
    <w:p>
      <w:pPr>
        <w:pBdr>
          <w:bottom w:val="single" w:color="1565C0" w:sz="4" w:space="1"/>
        </w:pBdr>
        <w:spacing w:after="200" w:before="200"/>
      </w:pPr>
    </w:p>
    <w:p>
      <w:pPr>
        <w:spacing w:after="480"/>
      </w:pPr>
    </w:p>
    <w:p>
      <w:pPr>
        <w:spacing w:after="120"/>
        <w:jc w:val="center"/>
      </w:pPr>
      <w:r>
        <w:rPr>
          <w:i/>
          <w:iCs/>
          <w:color w:val="455A64"/>
          <w:sz w:val="22"/>
          <w:szCs w:val="22"/>
        </w:rPr>
        <w:t xml:space="preserve">Prepared by</w:t>
      </w:r>
    </w:p>
    <w:p>
      <w:pPr>
        <w:spacing w:after="80"/>
        <w:jc w:val="center"/>
      </w:pPr>
      <w:r>
        <w:rPr>
          <w:b/>
          <w:bCs/>
          <w:color w:val="1A237E"/>
          <w:sz w:val="32"/>
          <w:szCs w:val="32"/>
        </w:rPr>
        <w:t xml:space="preserve">Lokesh Gaddam</w:t>
      </w:r>
    </w:p>
    <w:p>
      <w:pPr>
        <w:spacing w:after="80"/>
        <w:jc w:val="center"/>
      </w:pPr>
      <w:r>
        <w:rPr>
          <w:color w:val="455A64"/>
          <w:sz w:val="22"/>
          <w:szCs w:val="22"/>
        </w:rPr>
        <w:t xml:space="preserve">Data Analyst  ·  Credit Risk &amp; Fintech Specialist</w:t>
      </w:r>
    </w:p>
    <w:p>
      <w:pPr>
        <w:spacing w:after="80"/>
        <w:jc w:val="center"/>
      </w:pPr>
      <w:hyperlink w:history="1" r:id="rIdxrec_1ru7aviqtegh1bo8">
        <w:r>
          <w:rPr>
            <w:rStyle w:val="Hyperlink"/>
            <w:sz w:val="22"/>
            <w:szCs w:val="22"/>
          </w:rPr>
          <w:t xml:space="preserve">github.com/LokeshGaddam14</w:t>
        </w:r>
      </w:hyperlink>
    </w:p>
    <w:p>
      <w:pPr>
        <w:spacing w:after="4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3800"/>
            <w:tcBorders>
              <w:top w:val="single" w:color="DDDDDD" w:sz="1"/>
              <w:left w:val="single" w:color="DDDDDD" w:sz="1"/>
              <w:bottom w:val="single" w:color="DDDDDD" w:sz="1"/>
              <w:right w:val="single" w:color="DDDDDD" w:sz="1"/>
            </w:tcBorders>
            <w:shd w:fill="E3F0FF" w:val="clear"/>
            <w:tcMar>
              <w:top w:type="dxa" w:w="80"/>
              <w:left w:type="dxa" w:w="150"/>
              <w:bottom w:type="dxa" w:w="80"/>
              <w:right w:type="dxa" w:w="150"/>
            </w:tcMar>
          </w:tcPr>
          <w:p>
            <w:r>
              <w:rPr>
                <w:b/>
                <w:bCs/>
                <w:color w:val="1A237E"/>
                <w:sz w:val="20"/>
                <w:szCs w:val="20"/>
              </w:rPr>
              <w:t xml:space="preserve">Dataset</w:t>
            </w:r>
          </w:p>
        </w:tc>
        <w:tc>
          <w:tcPr>
            <w:tcW w:type="dxa" w:w="5560"/>
            <w:tcBorders>
              <w:top w:val="single" w:color="DDDDDD" w:sz="1"/>
              <w:left w:val="single" w:color="DDDDDD" w:sz="1"/>
              <w:bottom w:val="single" w:color="DDDDDD" w:sz="1"/>
              <w:right w:val="single" w:color="DDDDDD" w:sz="1"/>
            </w:tcBorders>
            <w:shd w:fill="E3F0FF" w:val="clear"/>
            <w:tcMar>
              <w:top w:type="dxa" w:w="80"/>
              <w:left w:type="dxa" w:w="150"/>
              <w:bottom w:type="dxa" w:w="80"/>
              <w:right w:type="dxa" w:w="150"/>
            </w:tcMar>
          </w:tcPr>
          <w:p>
            <w:r>
              <w:rPr>
                <w:color w:val="212121"/>
                <w:sz w:val="20"/>
                <w:szCs w:val="20"/>
              </w:rPr>
              <w:t xml:space="preserve">49,278 Credit Facilities</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b/>
                <w:bCs/>
                <w:color w:val="1A237E"/>
                <w:sz w:val="20"/>
                <w:szCs w:val="20"/>
              </w:rPr>
              <w:t xml:space="preserve">Portfolio PD</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color w:val="212121"/>
                <w:sz w:val="20"/>
                <w:szCs w:val="20"/>
              </w:rPr>
              <w:t xml:space="preserve">24.39% (Subprime Tier)</w:t>
            </w:r>
          </w:p>
        </w:tc>
      </w:tr>
      <w:tr>
        <w:tc>
          <w:tcPr>
            <w:tcW w:type="dxa" w:w="3800"/>
            <w:tcBorders>
              <w:top w:val="single" w:color="DDDDDD" w:sz="1"/>
              <w:left w:val="single" w:color="DDDDDD" w:sz="1"/>
              <w:bottom w:val="single" w:color="DDDDDD" w:sz="1"/>
              <w:right w:val="single" w:color="DDDDDD" w:sz="1"/>
            </w:tcBorders>
            <w:shd w:fill="E3F0FF" w:val="clear"/>
            <w:tcMar>
              <w:top w:type="dxa" w:w="80"/>
              <w:left w:type="dxa" w:w="150"/>
              <w:bottom w:type="dxa" w:w="80"/>
              <w:right w:type="dxa" w:w="150"/>
            </w:tcMar>
          </w:tcPr>
          <w:p>
            <w:r>
              <w:rPr>
                <w:b/>
                <w:bCs/>
                <w:color w:val="1A237E"/>
                <w:sz w:val="20"/>
                <w:szCs w:val="20"/>
              </w:rPr>
              <w:t xml:space="preserve">Best Model</w:t>
            </w:r>
          </w:p>
        </w:tc>
        <w:tc>
          <w:tcPr>
            <w:tcW w:type="dxa" w:w="5560"/>
            <w:tcBorders>
              <w:top w:val="single" w:color="DDDDDD" w:sz="1"/>
              <w:left w:val="single" w:color="DDDDDD" w:sz="1"/>
              <w:bottom w:val="single" w:color="DDDDDD" w:sz="1"/>
              <w:right w:val="single" w:color="DDDDDD" w:sz="1"/>
            </w:tcBorders>
            <w:shd w:fill="E3F0FF" w:val="clear"/>
            <w:tcMar>
              <w:top w:type="dxa" w:w="80"/>
              <w:left w:type="dxa" w:w="150"/>
              <w:bottom w:type="dxa" w:w="80"/>
              <w:right w:type="dxa" w:w="150"/>
            </w:tcMar>
          </w:tcPr>
          <w:p>
            <w:r>
              <w:rPr>
                <w:color w:val="212121"/>
                <w:sz w:val="20"/>
                <w:szCs w:val="20"/>
              </w:rPr>
              <w:t xml:space="preserve">XGBoost — AUC 0.87 | Gini 0.74 | KS 0.62</w:t>
            </w:r>
          </w:p>
        </w:tc>
      </w:tr>
      <w:tr>
        <w:tc>
          <w:tcPr>
            <w:tcW w:type="dxa" w:w="38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b/>
                <w:bCs/>
                <w:color w:val="1A237E"/>
                <w:sz w:val="20"/>
                <w:szCs w:val="20"/>
              </w:rPr>
              <w:t xml:space="preserve">Tools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color w:val="212121"/>
                <w:sz w:val="20"/>
                <w:szCs w:val="20"/>
              </w:rPr>
              <w:t xml:space="preserve">Python · XGBoost · LightGBM · SHAP · SQL · Power BI</w:t>
            </w:r>
          </w:p>
        </w:tc>
      </w:tr>
      <w:tr>
        <w:tc>
          <w:tcPr>
            <w:tcW w:type="dxa" w:w="3800"/>
            <w:tcBorders>
              <w:top w:val="single" w:color="DDDDDD" w:sz="1"/>
              <w:left w:val="single" w:color="DDDDDD" w:sz="1"/>
              <w:bottom w:val="single" w:color="DDDDDD" w:sz="1"/>
              <w:right w:val="single" w:color="DDDDDD" w:sz="1"/>
            </w:tcBorders>
            <w:shd w:fill="E3F0FF" w:val="clear"/>
            <w:tcMar>
              <w:top w:type="dxa" w:w="80"/>
              <w:left w:type="dxa" w:w="150"/>
              <w:bottom w:type="dxa" w:w="80"/>
              <w:right w:type="dxa" w:w="150"/>
            </w:tcMar>
          </w:tcPr>
          <w:p>
            <w:r>
              <w:rPr>
                <w:b/>
                <w:bCs/>
                <w:color w:val="1A237E"/>
                <w:sz w:val="20"/>
                <w:szCs w:val="20"/>
              </w:rPr>
              <w:t xml:space="preserve">Framework</w:t>
            </w:r>
          </w:p>
        </w:tc>
        <w:tc>
          <w:tcPr>
            <w:tcW w:type="dxa" w:w="5560"/>
            <w:tcBorders>
              <w:top w:val="single" w:color="DDDDDD" w:sz="1"/>
              <w:left w:val="single" w:color="DDDDDD" w:sz="1"/>
              <w:bottom w:val="single" w:color="DDDDDD" w:sz="1"/>
              <w:right w:val="single" w:color="DDDDDD" w:sz="1"/>
            </w:tcBorders>
            <w:shd w:fill="E3F0FF" w:val="clear"/>
            <w:tcMar>
              <w:top w:type="dxa" w:w="80"/>
              <w:left w:type="dxa" w:w="150"/>
              <w:bottom w:type="dxa" w:w="80"/>
              <w:right w:type="dxa" w:w="150"/>
            </w:tcMar>
          </w:tcPr>
          <w:p>
            <w:r>
              <w:rPr>
                <w:color w:val="212121"/>
                <w:sz w:val="20"/>
                <w:szCs w:val="20"/>
              </w:rPr>
              <w:t xml:space="preserve">Basel III IRB · IFRS 9 ECL · SR 11-7 · ECOA Reg B</w:t>
            </w:r>
          </w:p>
        </w:tc>
      </w:tr>
    </w:tbl>
    <w:p>
      <w:pPr>
        <w:spacing w:after="1440"/>
      </w:pPr>
    </w:p>
    <w:p>
      <w:pPr>
        <w:jc w:val="center"/>
      </w:pPr>
      <w:r>
        <w:rPr>
          <w:i/>
          <w:iCs/>
          <w:color w:val="455A64"/>
          <w:sz w:val="18"/>
          <w:szCs w:val="18"/>
        </w:rPr>
        <w:t xml:space="preserve">CONFIDENTIAL  ·  FOR PORTFOLIO REVIEW USE ONLY</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color w:val="212121"/>
          <w:sz w:val="22"/>
          <w:szCs w:val="22"/>
        </w:rPr>
        <w:t xml:space="preserve">This report presents the findings of a credit risk analytics engagement covering 49,278 mortgage credit facilities. The analysis was conducted under the Basel III Internal Ratings-Based (IRB) approach and IFRS 9 Expected Credit Loss (ECL) framework, replicating the workflow of a Risk Analytics team at a Tier-1 financial institution.</w:t>
      </w:r>
    </w:p>
    <w:p>
      <w:pPr>
        <w:spacing w:after="120"/>
      </w:pPr>
      <w:r>
        <w:rPr>
          <w:color w:val="212121"/>
          <w:sz w:val="22"/>
          <w:szCs w:val="22"/>
        </w:rPr>
        <w:t xml:space="preserve">A Probability of Default (PD) scoring model was developed using XGBoost gradient boosting, achieving a Gini Coefficient of 0.74 and KS Statistic of 0.62 — well above SR 11-7 minimum thresholds for retail credit models. SHAP explainability was applied to ensure compliance with ECOA Regulation B adverse action notice requirements.</w:t>
      </w:r>
    </w:p>
    <w:p>
      <w:pPr>
        <w:spacing w:after="120"/>
      </w:pPr>
    </w:p>
    <w:p>
      <w:pPr>
        <w:pStyle w:val="Heading2"/>
      </w:pPr>
      <w:r>
        <w:t xml:space="preserve">2. Portfolio Overview &amp; Default Rate</w:t>
      </w:r>
    </w:p>
    <w:p>
      <w:pPr>
        <w:spacing w:after="120"/>
      </w:pPr>
      <w:r>
        <w:rPr>
          <w:color w:val="212121"/>
          <w:sz w:val="22"/>
          <w:szCs w:val="22"/>
        </w:rPr>
        <w:t xml:space="preserve">The portfolio exhibits a default rate of 24.39%, classifying it firmly within the subprime tier. This is approximately 5-8x the default rate observed in prime mortgage portfolios and necessitates elevated capital provisioning under IFRS 9 Stage 2/3 classification.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Portfolio KPI</w:t>
            </w:r>
          </w:p>
        </w:tc>
        <w:tc>
          <w:tcPr>
            <w:tcW w:type="dxa" w:w="278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Value</w:t>
            </w:r>
          </w:p>
        </w:tc>
        <w:tc>
          <w:tcPr>
            <w:tcW w:type="dxa" w:w="278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Assessment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Total Credit Facilities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49,278</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Portfolio Default Rate (PD)</w:t>
            </w:r>
          </w:p>
        </w:tc>
        <w:tc>
          <w:tcPr>
            <w:tcW w:type="dxa" w:w="27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24.39%</w:t>
            </w:r>
          </w:p>
        </w:tc>
        <w:tc>
          <w:tcPr>
            <w:tcW w:type="dxa" w:w="27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 Subprime Tier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Performing Facilities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37,256</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 Stage 1 (IFRS 9)</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Defaulted Facilities</w:t>
            </w:r>
          </w:p>
        </w:tc>
        <w:tc>
          <w:tcPr>
            <w:tcW w:type="dxa" w:w="27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12,022</w:t>
            </w:r>
          </w:p>
        </w:tc>
        <w:tc>
          <w:tcPr>
            <w:tcW w:type="dxa" w:w="27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 Stage 3 (IFRS 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Average LTV Ratio</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~78%</w:t>
            </w:r>
          </w:p>
        </w:tc>
        <w:tc>
          <w:tcPr>
            <w:tcW w:type="dxa" w:w="2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 Elevated Collateral Risk</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Average Credit Score</w:t>
            </w:r>
          </w:p>
        </w:tc>
        <w:tc>
          <w:tcPr>
            <w:tcW w:type="dxa" w:w="27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~650</w:t>
            </w:r>
          </w:p>
        </w:tc>
        <w:tc>
          <w:tcPr>
            <w:tcW w:type="dxa" w:w="27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 Near-Prime Segment</w:t>
            </w:r>
          </w:p>
        </w:tc>
      </w:tr>
    </w:tbl>
    <w:p>
      <w:pPr>
        <w:spacing w:after="240"/>
      </w:pPr>
    </w:p>
    <w:p>
      <w:pPr>
        <w:pStyle w:val="Heading1"/>
      </w:pPr>
      <w:r>
        <w:t xml:space="preserve">3. Key Risk Findings</w:t>
      </w:r>
    </w:p>
    <w:p>
      <w:pPr>
        <w:spacing w:after="60"/>
      </w:pPr>
    </w:p>
    <w:p>
      <w:pPr>
        <w:pStyle w:val="Heading2"/>
      </w:pPr>
      <w:r>
        <w:t xml:space="preserve">3.1  Collateral Risk — LTV Concentration</w:t>
      </w:r>
    </w:p>
    <w:p>
      <w:pPr>
        <w:spacing w:after="120"/>
      </w:pPr>
      <w:r>
        <w:rPr>
          <w:color w:val="212121"/>
          <w:sz w:val="22"/>
          <w:szCs w:val="22"/>
        </w:rPr>
        <w:t xml:space="preserve">Loan-to-Value (LTV) ratio is the primary collateral risk metric in mortgage credit. Analysis reveals that facilities with LTV above 90% exhibit a default rate of 35.2% — the highest Expected Loss (EL) tier in the portfolio.</w:t>
      </w:r>
    </w:p>
    <w:p>
      <w:pPr>
        <w:pStyle w:val="ListParagraph"/>
        <w:numPr>
          <w:ilvl w:val="0"/>
          <w:numId w:val="2"/>
        </w:numPr>
        <w:spacing w:after="80"/>
      </w:pPr>
      <w:r>
        <w:rPr>
          <w:color w:val="212121"/>
          <w:sz w:val="22"/>
          <w:szCs w:val="22"/>
        </w:rPr>
        <w:t xml:space="preserve">LTV ≤80%: Default rates track near portfolio average — adequate collateral coverage</w:t>
      </w:r>
    </w:p>
    <w:p>
      <w:pPr>
        <w:pStyle w:val="ListParagraph"/>
        <w:numPr>
          <w:ilvl w:val="0"/>
          <w:numId w:val="2"/>
        </w:numPr>
        <w:spacing w:after="80"/>
      </w:pPr>
      <w:r>
        <w:rPr>
          <w:color w:val="212121"/>
          <w:sz w:val="22"/>
          <w:szCs w:val="22"/>
        </w:rPr>
        <w:t xml:space="preserve">LTV 80–90%: Elevated risk; Private Mortgage Insurance (PMI) should be required at origination</w:t>
      </w:r>
    </w:p>
    <w:p>
      <w:pPr>
        <w:pStyle w:val="ListParagraph"/>
        <w:numPr>
          <w:ilvl w:val="0"/>
          <w:numId w:val="2"/>
        </w:numPr>
        <w:spacing w:after="80"/>
      </w:pPr>
      <w:r>
        <w:rPr>
          <w:color w:val="212121"/>
          <w:sz w:val="22"/>
          <w:szCs w:val="22"/>
        </w:rPr>
        <w:t xml:space="preserve">LTV &gt;90%: 35.2% default rate — highest EL tier; requires credit enhancement or decline</w:t>
      </w:r>
    </w:p>
    <w:p>
      <w:pPr>
        <w:pStyle w:val="ListParagraph"/>
        <w:numPr>
          <w:ilvl w:val="0"/>
          <w:numId w:val="2"/>
        </w:numPr>
        <w:spacing w:after="80"/>
      </w:pPr>
      <w:r>
        <w:rPr>
          <w:color w:val="212121"/>
          <w:sz w:val="22"/>
          <w:szCs w:val="22"/>
        </w:rPr>
        <w:t xml:space="preserve">LTV &gt;100% (Underwater): Negative equity; collateral provides no loss mitigation</w:t>
      </w:r>
    </w:p>
    <w:p>
      <w:pPr>
        <w:spacing w:after="120"/>
      </w:pPr>
    </w:p>
    <w:p>
      <w:pPr>
        <w:pStyle w:val="Heading2"/>
      </w:pPr>
      <w:r>
        <w:t xml:space="preserve">3.2  Repayment Capacity — DTIR Stress Analysis</w:t>
      </w:r>
    </w:p>
    <w:p>
      <w:pPr>
        <w:spacing w:after="120"/>
      </w:pPr>
      <w:r>
        <w:rPr>
          <w:color w:val="212121"/>
          <w:sz w:val="22"/>
          <w:szCs w:val="22"/>
        </w:rPr>
        <w:t xml:space="preserve">The Debt-to-Income Ratio (DTIR) is a primary repayment capacity metric. The CFPB Qualified Mortgage (QM) rule caps DTIR at 43%. Facilities breaching this threshold show materially elevated default rates, confirming the regulatory rationale for the QM standard.</w:t>
      </w:r>
    </w:p>
    <w:p>
      <w:pPr>
        <w:pStyle w:val="ListParagraph"/>
        <w:numPr>
          <w:ilvl w:val="0"/>
          <w:numId w:val="2"/>
        </w:numPr>
        <w:spacing w:after="80"/>
      </w:pPr>
      <w:r>
        <w:rPr>
          <w:color w:val="212121"/>
          <w:sz w:val="22"/>
          <w:szCs w:val="22"/>
        </w:rPr>
        <w:t xml:space="preserve">DTIR ≤30%: Default rate below portfolio average — strong repayment capacity</w:t>
      </w:r>
    </w:p>
    <w:p>
      <w:pPr>
        <w:pStyle w:val="ListParagraph"/>
        <w:numPr>
          <w:ilvl w:val="0"/>
          <w:numId w:val="2"/>
        </w:numPr>
        <w:spacing w:after="80"/>
      </w:pPr>
      <w:r>
        <w:rPr>
          <w:color w:val="212121"/>
          <w:sz w:val="22"/>
          <w:szCs w:val="22"/>
        </w:rPr>
        <w:t xml:space="preserve">DTIR 36–43% (Near QM cap): Default rate approaches portfolio average</w:t>
      </w:r>
    </w:p>
    <w:p>
      <w:pPr>
        <w:pStyle w:val="ListParagraph"/>
        <w:numPr>
          <w:ilvl w:val="0"/>
          <w:numId w:val="2"/>
        </w:numPr>
        <w:spacing w:after="80"/>
      </w:pPr>
      <w:r>
        <w:rPr>
          <w:color w:val="212121"/>
          <w:sz w:val="22"/>
          <w:szCs w:val="22"/>
        </w:rPr>
        <w:t xml:space="preserve">DTIR &gt;43% (QM breach): Significantly elevated PD — policy tightening recommended</w:t>
      </w:r>
    </w:p>
    <w:p>
      <w:pPr>
        <w:pStyle w:val="ListParagraph"/>
        <w:numPr>
          <w:ilvl w:val="0"/>
          <w:numId w:val="2"/>
        </w:numPr>
        <w:spacing w:after="80"/>
      </w:pPr>
      <w:r>
        <w:rPr>
          <w:color w:val="212121"/>
          <w:sz w:val="22"/>
          <w:szCs w:val="22"/>
        </w:rPr>
        <w:t xml:space="preserve">DTIR &gt;50%: Highest repayment stress; facilities in this band should require manual underwriting</w:t>
      </w:r>
    </w:p>
    <w:p>
      <w:pPr>
        <w:spacing w:after="120"/>
      </w:pPr>
    </w:p>
    <w:p>
      <w:pPr>
        <w:pStyle w:val="Heading2"/>
      </w:pPr>
      <w:r>
        <w:t xml:space="preserve">3.3  Income Segmentation &amp; Adverse Selection</w:t>
      </w:r>
    </w:p>
    <w:p>
      <w:pPr>
        <w:spacing w:after="120"/>
      </w:pPr>
      <w:r>
        <w:rPr>
          <w:color w:val="212121"/>
          <w:sz w:val="22"/>
          <w:szCs w:val="22"/>
        </w:rPr>
        <w:t xml:space="preserve">Borrower income is a fundamental driver of Debt Service Coverage Ratio (DSCR). The portfolio exhibits significant adverse selection in low-income segments, with the bottom income quintile showing a default rate approximately twice the portfolio average.</w:t>
      </w:r>
    </w:p>
    <w:p>
      <w:pPr>
        <w:pStyle w:val="ListParagraph"/>
        <w:numPr>
          <w:ilvl w:val="0"/>
          <w:numId w:val="2"/>
        </w:numPr>
        <w:spacing w:after="80"/>
      </w:pPr>
      <w:r>
        <w:rPr>
          <w:color w:val="212121"/>
          <w:sz w:val="22"/>
          <w:szCs w:val="22"/>
        </w:rPr>
        <w:t xml:space="preserve">Quintile 1 (Lowest Income &lt;$30K): ~43% default rate — elevated ECL provisioning required</w:t>
      </w:r>
    </w:p>
    <w:p>
      <w:pPr>
        <w:pStyle w:val="ListParagraph"/>
        <w:numPr>
          <w:ilvl w:val="0"/>
          <w:numId w:val="2"/>
        </w:numPr>
        <w:spacing w:after="80"/>
      </w:pPr>
      <w:r>
        <w:rPr>
          <w:color w:val="212121"/>
          <w:sz w:val="22"/>
          <w:szCs w:val="22"/>
        </w:rPr>
        <w:t xml:space="preserve">Quintile 5 (Highest Income &gt;$100K): Default rate well below portfolio average</w:t>
      </w:r>
    </w:p>
    <w:p>
      <w:pPr>
        <w:pStyle w:val="ListParagraph"/>
        <w:numPr>
          <w:ilvl w:val="0"/>
          <w:numId w:val="2"/>
        </w:numPr>
        <w:spacing w:after="80"/>
      </w:pPr>
      <w:r>
        <w:rPr>
          <w:color w:val="212121"/>
          <w:sz w:val="22"/>
          <w:szCs w:val="22"/>
        </w:rPr>
        <w:t xml:space="preserve">Income-adjusted underwriting thresholds should be implemented for below-median earners</w:t>
      </w:r>
    </w:p>
    <w:p>
      <w:pPr>
        <w:spacing w:after="120"/>
      </w:pPr>
    </w:p>
    <w:p>
      <w:pPr>
        <w:pStyle w:val="Heading2"/>
      </w:pPr>
      <w:r>
        <w:t xml:space="preserve">3.4  Credit Score Discriminatory Power Assessment</w:t>
      </w:r>
    </w:p>
    <w:p>
      <w:pPr>
        <w:spacing w:after="120"/>
      </w:pPr>
      <w:r>
        <w:rPr>
          <w:color w:val="212121"/>
          <w:sz w:val="22"/>
          <w:szCs w:val="22"/>
        </w:rPr>
        <w:t xml:space="preserve">Contrary to conventional underwriting practice, FICO credit score alone demonstrates weak monotonic discrimination in this portfolio. The PD distribution across score bands shows limited gradient, suggesting that score-only underwriting leads to material adverse selection. This finding supports the implementation of a composite risk scorecard.</w:t>
      </w:r>
    </w:p>
    <w:p>
      <w:pPr>
        <w:spacing w:after="120"/>
      </w:pPr>
    </w:p>
    <w:p>
      <w:pPr>
        <w:pStyle w:val="Heading1"/>
      </w:pPr>
      <w:r>
        <w:t xml:space="preserve">4. PD Model Validation — SR 11-7 Scorecard</w:t>
      </w:r>
    </w:p>
    <w:p>
      <w:pPr>
        <w:spacing w:after="120"/>
      </w:pPr>
      <w:r>
        <w:rPr>
          <w:color w:val="212121"/>
          <w:sz w:val="22"/>
          <w:szCs w:val="22"/>
        </w:rPr>
        <w:t xml:space="preserve">Three models were developed and validated against regulatory benchmarks defined in SR 11-7 (Model Risk Management). Performance is assessed using Gini Coefficient and KS Statistic — the standard discrimination metrics in credit scorecard validation.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60"/>
        <w:gridCol w:w="1500"/>
        <w:gridCol w:w="1800"/>
      </w:tblGrid>
      <w:tr>
        <w:trPr>
          <w:tblHeader/>
        </w:trPr>
        <w:tc>
          <w:tcPr>
            <w:tcW w:type="dxa" w:w="28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Model</w:t>
            </w:r>
          </w:p>
        </w:tc>
        <w:tc>
          <w:tcPr>
            <w:tcW w:type="dxa" w:w="15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AUC-ROC</w:t>
            </w:r>
          </w:p>
        </w:tc>
        <w:tc>
          <w:tcPr>
            <w:tcW w:type="dxa" w:w="176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Gini Coefficient</w:t>
            </w:r>
          </w:p>
        </w:tc>
        <w:tc>
          <w:tcPr>
            <w:tcW w:type="dxa" w:w="15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KS Statistic</w:t>
            </w:r>
          </w:p>
        </w:tc>
        <w:tc>
          <w:tcPr>
            <w:tcW w:type="dxa" w:w="18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SR 11-7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Logistic Regression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~0.73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~0.46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~0.38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 Acceptable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XGBoost (Primary PD Model)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~0.87</w:t>
            </w:r>
          </w:p>
        </w:tc>
        <w:tc>
          <w:tcPr>
            <w:tcW w:type="dxa" w:w="1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~0.74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~0.62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 Strong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LightGBM (Decisioning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~0.86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~0.72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~0.61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 Strong</w:t>
            </w:r>
          </w:p>
        </w:tc>
      </w:tr>
    </w:tbl>
    <w:p>
      <w:pPr>
        <w:spacing w:after="160"/>
      </w:pPr>
    </w:p>
    <w:p>
      <w:pPr>
        <w:spacing w:after="120"/>
      </w:pPr>
      <w:r>
        <w:rPr>
          <w:i/>
          <w:iCs/>
          <w:color w:val="455A64"/>
          <w:sz w:val="22"/>
          <w:szCs w:val="22"/>
        </w:rPr>
        <w:t xml:space="preserve">Benchmark thresholds: Gini &gt; 0.40 = Acceptable · Gini &gt; 0.60 = Good · Gini &gt; 0.70 = Strong</w:t>
      </w:r>
    </w:p>
    <w:p>
      <w:pPr>
        <w:spacing w:after="120"/>
      </w:pPr>
    </w:p>
    <w:p>
      <w:pPr>
        <w:pStyle w:val="Heading1"/>
      </w:pPr>
      <w:r>
        <w:t xml:space="preserve">5. SHAP Explainability — Adverse Action Compliance</w:t>
      </w:r>
    </w:p>
    <w:p>
      <w:pPr>
        <w:spacing w:after="120"/>
      </w:pPr>
      <w:r>
        <w:rPr>
          <w:color w:val="212121"/>
          <w:sz w:val="22"/>
          <w:szCs w:val="22"/>
        </w:rPr>
        <w:t xml:space="preserve">Under ECOA (Equal Credit Opportunity Act) and Regulation B, lenders must provide specific adverse action reasons when denying credit. SHAP (SHapley Additive exPlanations) provides a game-theoretic framework for attributing individual credit decisions to specific risk factors.</w:t>
      </w:r>
    </w:p>
    <w:p>
      <w:pPr>
        <w:spacing w:after="60"/>
      </w:pPr>
    </w:p>
    <w:p>
      <w:pPr>
        <w:pStyle w:val="Heading2"/>
      </w:pPr>
      <w:r>
        <w:t xml:space="preserve">5.1  Top Risk Drivers (SHAP Feature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600"/>
        <w:gridCol w:w="2560"/>
        <w:gridCol w:w="2560"/>
      </w:tblGrid>
      <w:tr>
        <w:trPr>
          <w:tblHeader/>
        </w:trPr>
        <w:tc>
          <w:tcPr>
            <w:tcW w:type="dxa" w:w="64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Rank</w:t>
            </w:r>
          </w:p>
        </w:tc>
        <w:tc>
          <w:tcPr>
            <w:tcW w:type="dxa" w:w="36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Risk Driver</w:t>
            </w:r>
          </w:p>
        </w:tc>
        <w:tc>
          <w:tcPr>
            <w:tcW w:type="dxa" w:w="256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SHAP Attribution</w:t>
            </w:r>
          </w:p>
        </w:tc>
        <w:tc>
          <w:tcPr>
            <w:tcW w:type="dxa" w:w="256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Business Interpretation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LTV (Loan-to-Value Ratio)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Highest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Primary collateral adequacy signal</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2</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dtir1 (Debt-to-Income Ratio)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Repayment capacity constraint</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Income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DSCR and affordability proxy</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Interest Rate Spread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Moderate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Risk premium signal at origination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Credit Score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Historical bureau creditworthiness</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6</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Loan Amount (EAD)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Moderate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Exposure magnitude and affordability</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Composite Risk Score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Multi-factor stress flag aggregation</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8</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Property Value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Moderate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Collateral recovery value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Rate of Interest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Lower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Pricing tier / credit quality signal</w:t>
            </w:r>
          </w:p>
        </w:tc>
      </w:tr>
      <w:tr>
        <w:tc>
          <w:tcPr>
            <w:tcW w:type="dxa" w:w="6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10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Upfront Charges (Fee Loading)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Lower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Origination cost intensity</w:t>
            </w:r>
          </w:p>
        </w:tc>
      </w:tr>
    </w:tbl>
    <w:p>
      <w:pPr>
        <w:spacing w:after="240"/>
      </w:pPr>
    </w:p>
    <w:p>
      <w:pPr>
        <w:pStyle w:val="Heading1"/>
      </w:pPr>
      <w:r>
        <w:t xml:space="preserve">6. IFRS 9 ECL Staging &amp; Provisioning</w:t>
      </w:r>
    </w:p>
    <w:p>
      <w:pPr>
        <w:spacing w:after="120"/>
      </w:pPr>
      <w:r>
        <w:rPr>
          <w:color w:val="212121"/>
          <w:sz w:val="22"/>
          <w:szCs w:val="22"/>
        </w:rPr>
        <w:t xml:space="preserve">Under IFRS 9, all financial instruments are classified into three stages based on credit quality. This analysis applies a rules-based staging model using LTV, DTIR, and credit score thresholds as Significant Increase in Credit Risk (SICR) indicators.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160"/>
        <w:gridCol w:w="1900"/>
        <w:gridCol w:w="1900"/>
      </w:tblGrid>
      <w:tr>
        <w:trPr>
          <w:tblHeader/>
        </w:trPr>
        <w:tc>
          <w:tcPr>
            <w:tcW w:type="dxa" w:w="12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Stage</w:t>
            </w:r>
          </w:p>
        </w:tc>
        <w:tc>
          <w:tcPr>
            <w:tcW w:type="dxa" w:w="22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Classification</w:t>
            </w:r>
          </w:p>
        </w:tc>
        <w:tc>
          <w:tcPr>
            <w:tcW w:type="dxa" w:w="216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SICR Triggers</w:t>
            </w:r>
          </w:p>
        </w:tc>
        <w:tc>
          <w:tcPr>
            <w:tcW w:type="dxa" w:w="19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ECL Basis</w:t>
            </w:r>
          </w:p>
        </w:tc>
        <w:tc>
          <w:tcPr>
            <w:tcW w:type="dxa" w:w="19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Provision Rate (Est.)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Stage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Performing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No triggers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12-Month ECL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~2.25% of EAD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Stage 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SICR Detected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LTV&gt;90, DTIR&gt;43, Score&lt;580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Lifetime ECL</w:t>
            </w:r>
          </w:p>
        </w:tc>
        <w:tc>
          <w:tcPr>
            <w:tcW w:type="dxa" w:w="19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~13.5% of EAD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Stage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Credit-Impaired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Status = 1 (Default)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Lifetime ECL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~65% of EAD</w:t>
            </w:r>
          </w:p>
        </w:tc>
      </w:tr>
    </w:tbl>
    <w:p>
      <w:pPr>
        <w:spacing w:after="240"/>
      </w:pPr>
    </w:p>
    <w:p>
      <w:pPr>
        <w:pStyle w:val="Heading1"/>
      </w:pPr>
      <w:r>
        <w:t xml:space="preserve">7. Risk Appetite Framework &amp; Policy Recommendations</w:t>
      </w:r>
    </w:p>
    <w:p>
      <w:pPr>
        <w:spacing w:after="120"/>
      </w:pPr>
      <w:r>
        <w:rPr>
          <w:color w:val="212121"/>
          <w:sz w:val="22"/>
          <w:szCs w:val="22"/>
        </w:rPr>
        <w:t xml:space="preserve">Based on the PD model outputs, the portfolio was stratified into four internal risk tiers aligned with the institution's credit risk appetite framework. The following underwriting policy recommendations are supported by the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Risk Tier</w:t>
            </w:r>
          </w:p>
        </w:tc>
        <w:tc>
          <w:tcPr>
            <w:tcW w:type="dxa" w:w="15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PD Range</w:t>
            </w:r>
          </w:p>
        </w:tc>
        <w:tc>
          <w:tcPr>
            <w:tcW w:type="dxa" w:w="15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Observed PD</w:t>
            </w:r>
          </w:p>
        </w:tc>
        <w:tc>
          <w:tcPr>
            <w:tcW w:type="dxa" w:w="396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Underwriting 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Tier 1 — Prime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&lt;10%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Auto-Approve · Standard Pricing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Tier 2 — Near-Prime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10–25%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~17%</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Approve with Enhanced Portfolio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Tier 3 — Subprime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25–50%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~38%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Manual Underwriting · Collateral Enhancement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Tier 4 — High Risk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&gt;50%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~72%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Decline · Require Co-Obligor or PMI</w:t>
            </w:r>
          </w:p>
        </w:tc>
      </w:tr>
    </w:tbl>
    <w:p>
      <w:pPr>
        <w:spacing w:after="240"/>
      </w:pPr>
    </w:p>
    <w:p>
      <w:pPr>
        <w:pStyle w:val="Heading2"/>
      </w:pPr>
      <w:r>
        <w:t xml:space="preserve">7.1  Strategic Recommendations</w:t>
      </w:r>
    </w:p>
    <w:p>
      <w:pPr>
        <w:pStyle w:val="ListParagraph"/>
        <w:numPr>
          <w:ilvl w:val="0"/>
          <w:numId w:val="2"/>
        </w:numPr>
        <w:spacing w:after="80"/>
      </w:pPr>
      <w:r>
        <w:rPr>
          <w:color w:val="212121"/>
          <w:sz w:val="22"/>
          <w:szCs w:val="22"/>
        </w:rPr>
        <w:t xml:space="preserve">Implement composite PD scorecard combining LTV + DTIR + Income + Credit Score at origination</w:t>
      </w:r>
    </w:p>
    <w:p>
      <w:pPr>
        <w:pStyle w:val="ListParagraph"/>
        <w:numPr>
          <w:ilvl w:val="0"/>
          <w:numId w:val="2"/>
        </w:numPr>
        <w:spacing w:after="80"/>
      </w:pPr>
      <w:r>
        <w:rPr>
          <w:color w:val="212121"/>
          <w:sz w:val="22"/>
          <w:szCs w:val="22"/>
        </w:rPr>
        <w:t xml:space="preserve">Mandate PMI / credit enhancement for all LTV &gt; 80% facilities at origination stage</w:t>
      </w:r>
    </w:p>
    <w:p>
      <w:pPr>
        <w:pStyle w:val="ListParagraph"/>
        <w:numPr>
          <w:ilvl w:val="0"/>
          <w:numId w:val="2"/>
        </w:numPr>
        <w:spacing w:after="80"/>
      </w:pPr>
      <w:r>
        <w:rPr>
          <w:color w:val="212121"/>
          <w:sz w:val="22"/>
          <w:szCs w:val="22"/>
        </w:rPr>
        <w:t xml:space="preserve">Enforce hard DTIR cap at 43% per CFPB QM standards; escalate &gt;43% to manual underwriter</w:t>
      </w:r>
    </w:p>
    <w:p>
      <w:pPr>
        <w:pStyle w:val="ListParagraph"/>
        <w:numPr>
          <w:ilvl w:val="0"/>
          <w:numId w:val="2"/>
        </w:numPr>
        <w:spacing w:after="80"/>
      </w:pPr>
      <w:r>
        <w:rPr>
          <w:color w:val="212121"/>
          <w:sz w:val="22"/>
          <w:szCs w:val="22"/>
        </w:rPr>
        <w:t xml:space="preserve">Deploy SHAP-based adverse action explanation engine for ECOA / Reg B compliance</w:t>
      </w:r>
    </w:p>
    <w:p>
      <w:pPr>
        <w:pStyle w:val="ListParagraph"/>
        <w:numPr>
          <w:ilvl w:val="0"/>
          <w:numId w:val="2"/>
        </w:numPr>
        <w:spacing w:after="80"/>
      </w:pPr>
      <w:r>
        <w:rPr>
          <w:color w:val="212121"/>
          <w:sz w:val="22"/>
          <w:szCs w:val="22"/>
        </w:rPr>
        <w:t xml:space="preserve">Re-classify Stage 2/3 facilities under IFRS 9 with enhanced ECL provisioning</w:t>
      </w:r>
    </w:p>
    <w:p>
      <w:pPr>
        <w:pStyle w:val="ListParagraph"/>
        <w:numPr>
          <w:ilvl w:val="0"/>
          <w:numId w:val="2"/>
        </w:numPr>
        <w:spacing w:after="80"/>
      </w:pPr>
      <w:r>
        <w:rPr>
          <w:color w:val="212121"/>
          <w:sz w:val="22"/>
          <w:szCs w:val="22"/>
        </w:rPr>
        <w:t xml:space="preserve">Introduce vintage-level monitoring dashboard to track origination quality deterioration over time</w:t>
      </w:r>
    </w:p>
    <w:p>
      <w:pPr>
        <w:pStyle w:val="ListParagraph"/>
        <w:numPr>
          <w:ilvl w:val="0"/>
          <w:numId w:val="2"/>
        </w:numPr>
        <w:spacing w:after="80"/>
      </w:pPr>
      <w:r>
        <w:rPr>
          <w:color w:val="212121"/>
          <w:sz w:val="22"/>
          <w:szCs w:val="22"/>
        </w:rPr>
        <w:t xml:space="preserve">Enhance income verification procedures for Quintile 1 borrowers to reduce adverse selection</w:t>
      </w:r>
    </w:p>
    <w:p>
      <w:pPr>
        <w:spacing w:after="240"/>
      </w:pPr>
    </w:p>
    <w:p>
      <w:pPr>
        <w:pStyle w:val="Heading1"/>
      </w:pPr>
      <w:r>
        <w:t xml:space="preserve">8. Technical Appendix</w:t>
      </w:r>
    </w:p>
    <w:p>
      <w:pPr>
        <w:pStyle w:val="Heading2"/>
      </w:pPr>
      <w:r>
        <w:t xml:space="preserve">8.1  Feature Engineering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80"/>
        <w:gridCol w:w="3480"/>
      </w:tblGrid>
      <w:tr>
        <w:trPr>
          <w:tblHeader/>
        </w:trPr>
        <w:tc>
          <w:tcPr>
            <w:tcW w:type="dxa" w:w="32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Engineered Feature</w:t>
            </w:r>
          </w:p>
        </w:tc>
        <w:tc>
          <w:tcPr>
            <w:tcW w:type="dxa" w:w="268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Formula</w:t>
            </w:r>
          </w:p>
        </w:tc>
        <w:tc>
          <w:tcPr>
            <w:tcW w:type="dxa" w:w="348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Business Rationale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loan_to_income_ratio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loan_amount / income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Affordability stress (EAD / Income)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upfront_to_loan</w:t>
            </w:r>
          </w:p>
        </w:tc>
        <w:tc>
          <w:tcPr>
            <w:tcW w:type="dxa" w:w="2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Upfront_charges / loan_amount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Fee loading intensity ratio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property_to_income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property_value / income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Collateral coverage vs. capacity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flag_high_ltv</w:t>
            </w:r>
          </w:p>
        </w:tc>
        <w:tc>
          <w:tcPr>
            <w:tcW w:type="dxa" w:w="2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LTV &gt; 90 → 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Binary collateral risk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flag_high_dtir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dtir1 &gt; 43 →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CFPB QM breach flag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flag_low_score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Credit_Score &lt; 620 → 1</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Subprime credit tier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composite_risk_score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Sum of 5 stress flags (0–5)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Additive multi-factor stress indicator</w:t>
            </w:r>
          </w:p>
        </w:tc>
      </w:tr>
    </w:tbl>
    <w:p>
      <w:pPr>
        <w:spacing w:after="240"/>
      </w:pPr>
    </w:p>
    <w:p>
      <w:pPr>
        <w:pStyle w:val="Heading2"/>
      </w:pPr>
      <w:r>
        <w:t xml:space="preserve">8.2  Regulatory Framework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Framework</w:t>
            </w:r>
          </w:p>
        </w:tc>
        <w:tc>
          <w:tcPr>
            <w:tcW w:type="dxa" w:w="696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Application in This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Basel III IRB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PD, LGD, EAD estimation; RWA-proxy risk tier segmentation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IFRS 9 ECL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Stage 1/2/3 classification; 12-month vs. Lifetime ECL provisioning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SR 11-7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Model governance; Gini/KS discrimination benchmarks; documentation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ECOA / Reg 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SHAP waterfall adverse action explanation; fair lending proxy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CFPB QM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DTIR 43% cap enforcement in risk flag feature engineering</w:t>
            </w:r>
          </w:p>
        </w:tc>
      </w:tr>
    </w:tbl>
    <w:p>
      <w:pPr>
        <w:spacing w:after="240"/>
      </w:pPr>
    </w:p>
    <w:p>
      <w:pPr>
        <w:pStyle w:val="Heading2"/>
      </w:pPr>
      <w:r>
        <w:t xml:space="preserve">8.3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Component</w:t>
            </w:r>
          </w:p>
        </w:tc>
        <w:tc>
          <w:tcPr>
            <w:tcW w:type="dxa" w:w="6960"/>
            <w:tcBorders>
              <w:top w:val="single" w:color="1565C0" w:sz="1"/>
              <w:left w:val="single" w:color="1565C0" w:sz="1"/>
              <w:bottom w:val="single" w:color="1565C0" w:sz="1"/>
              <w:right w:val="single" w:color="1565C0" w:sz="1"/>
            </w:tcBorders>
            <w:shd w:fill="1A237E" w:val="clear"/>
            <w:tcMar>
              <w:top w:type="dxa" w:w="100"/>
              <w:left w:type="dxa" w:w="150"/>
              <w:bottom w:type="dxa" w:w="100"/>
              <w:right w:type="dxa" w:w="150"/>
            </w:tcMar>
            <w:vAlign w:val="center"/>
          </w:tcPr>
          <w:p>
            <w:pPr>
              <w:jc w:val="center"/>
            </w:pPr>
            <w:r>
              <w:rPr>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Language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Python 3.10+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ML Models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XGBoost · LightGBM · Scikit-learn (Logistic Regression)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Explainability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SHAP (TreeExplainer) — beeswarm, bar, waterfall charts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Data Processing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Pandas · NumPy · Scikit-learn preprocessing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Visualization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Matplotlib · Seaborn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SQL Analytics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SQLite (MySQL / PostgreSQL compatible) — 12 advanced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BI 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color w:val="212121"/>
                <w:sz w:val="20"/>
                <w:szCs w:val="20"/>
              </w:rPr>
              <w:t xml:space="preserve">Power BI Desktop — 3 pages, 15+ DAX measures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Dataset Source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color w:val="212121"/>
                <w:sz w:val="20"/>
                <w:szCs w:val="20"/>
              </w:rPr>
              <w:t xml:space="preserve">Kaggle: yasserh/loan-default-dataset (49,278 records)</w:t>
            </w:r>
          </w:p>
        </w:tc>
      </w:tr>
    </w:tbl>
    <w:p>
      <w:pPr>
        <w:spacing w:after="480"/>
      </w:pPr>
    </w:p>
    <w:p>
      <w:pPr>
        <w:pBdr>
          <w:bottom w:val="single" w:color="1565C0" w:sz="4" w:space="1"/>
        </w:pBdr>
        <w:spacing w:after="200" w:before="200"/>
      </w:pPr>
    </w:p>
    <w:p>
      <w:pPr>
        <w:spacing w:before="240"/>
        <w:jc w:val="center"/>
      </w:pPr>
      <w:r>
        <w:rPr>
          <w:i/>
          <w:iCs/>
          <w:color w:val="455A64"/>
          <w:sz w:val="18"/>
          <w:szCs w:val="18"/>
        </w:rPr>
        <w:t xml:space="preserve">Lokesh Gaddam  ·  Credit Risk Analytics  ·  github.com/LokeshGaddam14</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026"/>
      </w:tabs>
    </w:pPr>
    <w:r>
      <w:rPr>
        <w:color w:val="455A64"/>
        <w:sz w:val="18"/>
        <w:szCs w:val="18"/>
      </w:rPr>
      <w:t xml:space="preserve">Lokesh Gaddam  ·  Confidential</w:t>
    </w:r>
    <w:r>
      <w:rPr>
        <w:color w:val="455A64"/>
        <w:sz w:val="18"/>
        <w:szCs w:val="18"/>
      </w:rPr>
      <w:t xml:space="preserve">	Page </w:t>
    </w:r>
    <w:r>
      <w:rPr>
        <w:b/>
        <w:bCs/>
        <w:color w:val="1A23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026"/>
      </w:tabs>
      <w:spacing w:after="120"/>
    </w:pPr>
    <w:r>
      <w:rPr>
        <w:b/>
        <w:bCs/>
        <w:color w:val="1A237E"/>
        <w:sz w:val="18"/>
        <w:szCs w:val="18"/>
      </w:rPr>
      <w:t xml:space="preserve">Bank Loan Default Risk Analysis</w:t>
    </w:r>
    <w:r>
      <w:rPr>
        <w:color w:val="455A64"/>
        <w:sz w:val="18"/>
        <w:szCs w:val="18"/>
      </w:rPr>
      <w:t xml:space="preserve">	Credit Risk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6" w:space="4"/>
      </w:pBdr>
      <w:spacing w:after="18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55A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rec_1ru7aviqtegh1bo8" Type="http://schemas.openxmlformats.org/officeDocument/2006/relationships/hyperlink" Target="https://github.com/LokeshGaddam14"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2026-05-03T17:43:42.753Z</dcterms:created>
  <dcterms:modified xsi:type="dcterms:W3CDTF">2026-05-03T17:43:42.770Z</dcterms:modified>
</cp:coreProperties>
</file>

<file path=docProps/custom.xml><?xml version="1.0" encoding="utf-8"?>
<Properties xmlns="http://schemas.openxmlformats.org/officeDocument/2006/custom-properties" xmlns:vt="http://schemas.openxmlformats.org/officeDocument/2006/docPropsVTypes"/>
</file>