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line="340"/>
        <w:jc w:val="center"/>
      </w:pPr>
      <w:r>
        <w:rPr>
          <w:b/>
          <w:bCs/>
          <w:color w:val="1F3864"/>
          <w:sz w:val="40"/>
          <w:szCs w:val="40"/>
        </w:rPr>
        <w:t xml:space="preserve">EXPLORATORY DATA ANALYSIS</w:t>
      </w:r>
    </w:p>
    <w:p>
      <w:pPr>
        <w:spacing w:before="40" w:line="340"/>
        <w:jc w:val="center"/>
      </w:pPr>
      <w:r>
        <w:rPr>
          <w:b/>
          <w:bCs/>
          <w:color w:val="1F3864"/>
          <w:sz w:val="40"/>
          <w:szCs w:val="40"/>
        </w:rPr>
        <w:t xml:space="preserve">&amp; INSIGHT GENERATION</w:t>
      </w:r>
    </w:p>
    <w:p>
      <w:pPr>
        <w:spacing w:before="300"/>
        <w:jc w:val="center"/>
      </w:pPr>
      <w:r>
        <w:rPr>
          <w:i/>
          <w:iCs/>
          <w:color w:val="4E79A7"/>
          <w:sz w:val="28"/>
          <w:szCs w:val="28"/>
        </w:rPr>
        <w:t xml:space="preserve">A Tableau-Oriented Analysis of the Sample – Superstore Dataset</w:t>
      </w:r>
    </w:p>
    <w:p>
      <w:pPr>
        <w:spacing w:before="800"/>
        <w:jc w:val="center"/>
      </w:pPr>
      <w:r>
        <w:rPr>
          <w:color w:val="595959"/>
          <w:sz w:val="24"/>
          <w:szCs w:val="24"/>
        </w:rPr>
        <w:t xml:space="preserve">Week 1 Task – Data Analytics Internship Program</w:t>
      </w:r>
    </w:p>
    <w:p>
      <w:pPr>
        <w:spacing w:before="3200"/>
        <w:jc w:val="center"/>
      </w:pPr>
      <w:r>
        <w:rPr>
          <w:color w:val="595959"/>
          <w:sz w:val="20"/>
          <w:szCs w:val="20"/>
        </w:rPr>
        <w:t xml:space="preserve">Prepared as a comprehensive EDA report covering dataset selection,</w:t>
      </w:r>
    </w:p>
    <w:p>
      <w:pPr>
        <w:jc w:val="center"/>
      </w:pPr>
      <w:r>
        <w:rPr>
          <w:color w:val="595959"/>
          <w:sz w:val="20"/>
          <w:szCs w:val="20"/>
        </w:rPr>
        <w:t xml:space="preserve">variable exploration, trend detection, and business-insight generation.</w:t>
      </w:r>
    </w:p>
    <w:p>
      <w:pPr>
        <w:spacing w:before="1600"/>
        <w:jc w:val="center"/>
      </w:pPr>
      <w:r>
        <w:rPr>
          <w:i/>
          <w:iCs/>
          <w:color w:val="595959"/>
          <w:sz w:val="18"/>
          <w:szCs w:val="18"/>
        </w:rPr>
        <w:t xml:space="preserve">Analysis Tools: Python (pandas / NumPy / Matplotlib) for statistical computation — Tableau for interactive dashboard design</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1. Executive Summary</w:t>
      </w:r>
    </w:p>
    <w:p>
      <w:pPr>
        <w:spacing w:after="160" w:line="276"/>
      </w:pPr>
      <w:r>
        <w:t xml:space="preserve">This report documents a full exploratory data analysis (EDA) of the Sample – Superstore dataset, a widely used public retail-transactions dataset (the standard Tableau/Kaggle training dataset for a fictional U.S. office-supply retailer) covering 9,994 order line items across 7,657 orders placed by 799 customers between 2015-01-01 and 2018-12-27.</w:t>
      </w:r>
    </w:p>
    <w:p>
      <w:pPr>
        <w:spacing w:after="160" w:line="276"/>
      </w:pPr>
      <w:r>
        <w:t xml:space="preserve">Across the full period the business generated $2,633,129 in sales and $262,634 in profit, an overall profit margin of 10.0%. Sales grew at a compound annual rate of roughly 15.1% over the four years analyzed, with December consistently the strongest month of the year. The analysis surfaces several actionable patterns — most notably that discounts above 30% are reliably associated with negative margins, that the Tables and Machines sub-categories lose money despite healthy sales volume, and that the top 20% of customers by spend account for roughly 40.4% of total revenue.</w:t>
      </w:r>
    </w:p>
    <w:p>
      <w:pPr>
        <w:spacing w:after="160" w:line="276"/>
      </w:pPr>
      <w:r>
        <w:t xml:space="preserve">Section 7 translates each finding into a concrete Tableau build specification (shelves, marks, calculated fields, filters) so the same analysis can be reproduced as an interactive Tableau dashboard.</w:t>
      </w:r>
    </w:p>
    <w:p>
      <w:pPr>
        <w:pStyle w:val="Heading1"/>
        <w:spacing w:after="160" w:before="360"/>
      </w:pPr>
      <w:r>
        <w:t xml:space="preserve">2. Objective</w:t>
      </w:r>
    </w:p>
    <w:p>
      <w:pPr>
        <w:spacing w:after="160" w:line="276"/>
      </w:pPr>
      <w:r>
        <w:t xml:space="preserve">The goal of this exercise is to select a rich, publicly available dataset and perform a structured exploratory analysis that (a) characterizes the variables and data quality, (b) surfaces meaningful trends, outliers, and relationships, and (c) translates those findings into business insights that are well suited to interactive visualization in Tableau. The report is written so that a reader unfamiliar with the dataset can follow the reasoning from raw fields to final recommendation.</w:t>
      </w:r>
    </w:p>
    <w:p>
      <w:pPr>
        <w:pStyle w:val="Heading1"/>
        <w:spacing w:after="160" w:before="360"/>
      </w:pPr>
      <w:r>
        <w:t xml:space="preserve">3. Dataset Overview</w:t>
      </w:r>
    </w:p>
    <w:p>
      <w:pPr>
        <w:pStyle w:val="Heading2"/>
        <w:spacing w:after="120" w:before="280"/>
      </w:pPr>
      <w:r>
        <w:t xml:space="preserve">3.1 Source &amp; Description</w:t>
      </w:r>
    </w:p>
    <w:p>
      <w:pPr>
        <w:spacing w:after="160" w:line="276"/>
      </w:pPr>
      <w:r>
        <w:t xml:space="preserve">Dataset: Sample – Superstore. This is the dataset Tableau itself ships as its flagship sample workbook, and it is one of the most widely mirrored public datasets for EDA and BI training (also distributed via Kaggle and numerous open GitHub repositories). It represents four years of order-level transactions for a fictional United States office-supply and furniture retailer, at the individual order-line-item grain — i.e., one row per product within an order.</w:t>
      </w:r>
    </w:p>
    <w:p>
      <w:pPr>
        <w:spacing w:after="160" w:line="276"/>
      </w:pPr>
      <w:r>
        <w:t xml:space="preserve">The dataset was chosen because it is rich enough to explore multiple analytical dimensions in a single workbook (time, geography, product hierarchy, customer segment, shipping logistics, and pricing/discount strategy) while remaining small enough to explore interactively without aggregation performance concerns — exactly the profile Tableau's own EDA and dashboarding features are designed around.</w:t>
      </w:r>
    </w:p>
    <w:p>
      <w:pPr>
        <w:pStyle w:val="Heading2"/>
        <w:spacing w:after="120" w:before="280"/>
      </w:pPr>
      <w:r>
        <w:t xml:space="preserve">3.2 Data Dictionary</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98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20"/>
                <w:szCs w:val="20"/>
              </w:rPr>
              <w:t xml:space="preserve">Field</w:t>
            </w:r>
          </w:p>
        </w:tc>
        <w:tc>
          <w:tcPr>
            <w:tcW w:type="dxa" w:w="1600"/>
            <w:shd w:fill="1F3864" w:val="clear"/>
            <w:tcMar>
              <w:top w:type="dxa" w:w="60"/>
              <w:left w:type="dxa" w:w="100"/>
              <w:bottom w:type="dxa" w:w="60"/>
              <w:right w:type="dxa" w:w="100"/>
            </w:tcMar>
            <w:vAlign w:val="center"/>
          </w:tcPr>
          <w:p>
            <w:pPr>
              <w:jc w:val="center"/>
            </w:pPr>
            <w:r>
              <w:rPr>
                <w:b/>
                <w:bCs/>
                <w:color w:val="FFFFFF"/>
                <w:sz w:val="20"/>
                <w:szCs w:val="20"/>
              </w:rPr>
              <w:t xml:space="preserve">Type</w:t>
            </w:r>
          </w:p>
        </w:tc>
        <w:tc>
          <w:tcPr>
            <w:tcW w:type="dxa" w:w="5980"/>
            <w:shd w:fill="1F3864" w:val="clear"/>
            <w:tcMar>
              <w:top w:type="dxa" w:w="60"/>
              <w:left w:type="dxa" w:w="100"/>
              <w:bottom w:type="dxa" w:w="60"/>
              <w:right w:type="dxa" w:w="100"/>
            </w:tcMar>
            <w:vAlign w:val="center"/>
          </w:tcPr>
          <w:p>
            <w:pPr>
              <w:jc w:val="center"/>
            </w:pPr>
            <w:r>
              <w:rPr>
                <w:b/>
                <w:bCs/>
                <w:color w:val="FFFFFF"/>
                <w:sz w:val="20"/>
                <w:szCs w:val="20"/>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Row ID</w:t>
            </w:r>
          </w:p>
        </w:tc>
        <w:tc>
          <w:tcPr>
            <w:tcW w:type="dxa" w:w="1600"/>
            <w:tcMar>
              <w:top w:type="dxa" w:w="60"/>
              <w:left w:type="dxa" w:w="100"/>
              <w:bottom w:type="dxa" w:w="60"/>
              <w:right w:type="dxa" w:w="100"/>
            </w:tcMar>
            <w:vAlign w:val="center"/>
          </w:tcPr>
          <w:p>
            <w:pPr>
              <w:jc w:val="center"/>
            </w:pPr>
            <w:r>
              <w:rPr>
                <w:b w:val="false"/>
                <w:bCs w:val="false"/>
                <w:sz w:val="20"/>
                <w:szCs w:val="20"/>
              </w:rPr>
              <w:t xml:space="preserve">Integer</w:t>
            </w:r>
          </w:p>
        </w:tc>
        <w:tc>
          <w:tcPr>
            <w:tcW w:type="dxa" w:w="5980"/>
            <w:tcMar>
              <w:top w:type="dxa" w:w="60"/>
              <w:left w:type="dxa" w:w="100"/>
              <w:bottom w:type="dxa" w:w="60"/>
              <w:right w:type="dxa" w:w="100"/>
            </w:tcMar>
            <w:vAlign w:val="center"/>
          </w:tcPr>
          <w:p>
            <w:pPr>
              <w:jc w:val="center"/>
            </w:pPr>
            <w:r>
              <w:rPr>
                <w:b w:val="false"/>
                <w:bCs w:val="false"/>
                <w:sz w:val="20"/>
                <w:szCs w:val="20"/>
              </w:rPr>
              <w:t xml:space="preserve">Unique line-item identifier</w:t>
            </w:r>
          </w:p>
        </w:tc>
      </w:tr>
      <w:tr>
        <w:tc>
          <w:tcPr>
            <w:tcW w:type="dxa" w:w="2200"/>
            <w:shd w:fill="F2F2F2" w:val="clear"/>
            <w:tcMar>
              <w:top w:type="dxa" w:w="60"/>
              <w:left w:type="dxa" w:w="100"/>
              <w:bottom w:type="dxa" w:w="60"/>
              <w:right w:type="dxa" w:w="100"/>
            </w:tcMar>
            <w:vAlign w:val="center"/>
          </w:tcPr>
          <w:p>
            <w:pPr>
              <w:jc w:val="left"/>
            </w:pPr>
            <w:r>
              <w:rPr>
                <w:b w:val="false"/>
                <w:bCs w:val="false"/>
                <w:sz w:val="20"/>
                <w:szCs w:val="20"/>
              </w:rPr>
              <w:t xml:space="preserve">Order ID / Order Date</w:t>
            </w:r>
          </w:p>
        </w:tc>
        <w:tc>
          <w:tcPr>
            <w:tcW w:type="dxa" w:w="1600"/>
            <w:shd w:fill="F2F2F2" w:val="clear"/>
            <w:tcMar>
              <w:top w:type="dxa" w:w="60"/>
              <w:left w:type="dxa" w:w="100"/>
              <w:bottom w:type="dxa" w:w="60"/>
              <w:right w:type="dxa" w:w="100"/>
            </w:tcMar>
            <w:vAlign w:val="center"/>
          </w:tcPr>
          <w:p>
            <w:pPr>
              <w:jc w:val="center"/>
            </w:pPr>
            <w:r>
              <w:rPr>
                <w:b w:val="false"/>
                <w:bCs w:val="false"/>
                <w:sz w:val="20"/>
                <w:szCs w:val="20"/>
              </w:rPr>
              <w:t xml:space="preserve">Text / Date</w:t>
            </w:r>
          </w:p>
        </w:tc>
        <w:tc>
          <w:tcPr>
            <w:tcW w:type="dxa" w:w="5980"/>
            <w:shd w:fill="F2F2F2" w:val="clear"/>
            <w:tcMar>
              <w:top w:type="dxa" w:w="60"/>
              <w:left w:type="dxa" w:w="100"/>
              <w:bottom w:type="dxa" w:w="60"/>
              <w:right w:type="dxa" w:w="100"/>
            </w:tcMar>
            <w:vAlign w:val="center"/>
          </w:tcPr>
          <w:p>
            <w:pPr>
              <w:jc w:val="center"/>
            </w:pPr>
            <w:r>
              <w:rPr>
                <w:b w:val="false"/>
                <w:bCs w:val="false"/>
                <w:sz w:val="20"/>
                <w:szCs w:val="20"/>
              </w:rPr>
              <w:t xml:space="preserve">Order transaction key and date placed</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Ship Date / Ship Mode</w:t>
            </w:r>
          </w:p>
        </w:tc>
        <w:tc>
          <w:tcPr>
            <w:tcW w:type="dxa" w:w="1600"/>
            <w:tcMar>
              <w:top w:type="dxa" w:w="60"/>
              <w:left w:type="dxa" w:w="100"/>
              <w:bottom w:type="dxa" w:w="60"/>
              <w:right w:type="dxa" w:w="100"/>
            </w:tcMar>
            <w:vAlign w:val="center"/>
          </w:tcPr>
          <w:p>
            <w:pPr>
              <w:jc w:val="center"/>
            </w:pPr>
            <w:r>
              <w:rPr>
                <w:b w:val="false"/>
                <w:bCs w:val="false"/>
                <w:sz w:val="20"/>
                <w:szCs w:val="20"/>
              </w:rPr>
              <w:t xml:space="preserve">Date / Category</w:t>
            </w:r>
          </w:p>
        </w:tc>
        <w:tc>
          <w:tcPr>
            <w:tcW w:type="dxa" w:w="5980"/>
            <w:tcMar>
              <w:top w:type="dxa" w:w="60"/>
              <w:left w:type="dxa" w:w="100"/>
              <w:bottom w:type="dxa" w:w="60"/>
              <w:right w:type="dxa" w:w="100"/>
            </w:tcMar>
            <w:vAlign w:val="center"/>
          </w:tcPr>
          <w:p>
            <w:pPr>
              <w:jc w:val="center"/>
            </w:pPr>
            <w:r>
              <w:rPr>
                <w:b w:val="false"/>
                <w:bCs w:val="false"/>
                <w:sz w:val="20"/>
                <w:szCs w:val="20"/>
              </w:rPr>
              <w:t xml:space="preserve">Fulfillment date and shipping service level</w:t>
            </w:r>
          </w:p>
        </w:tc>
      </w:tr>
      <w:tr>
        <w:tc>
          <w:tcPr>
            <w:tcW w:type="dxa" w:w="2200"/>
            <w:shd w:fill="F2F2F2" w:val="clear"/>
            <w:tcMar>
              <w:top w:type="dxa" w:w="60"/>
              <w:left w:type="dxa" w:w="100"/>
              <w:bottom w:type="dxa" w:w="60"/>
              <w:right w:type="dxa" w:w="100"/>
            </w:tcMar>
            <w:vAlign w:val="center"/>
          </w:tcPr>
          <w:p>
            <w:pPr>
              <w:jc w:val="left"/>
            </w:pPr>
            <w:r>
              <w:rPr>
                <w:b w:val="false"/>
                <w:bCs w:val="false"/>
                <w:sz w:val="20"/>
                <w:szCs w:val="20"/>
              </w:rPr>
              <w:t xml:space="preserve">Customer ID</w:t>
            </w:r>
          </w:p>
        </w:tc>
        <w:tc>
          <w:tcPr>
            <w:tcW w:type="dxa" w:w="1600"/>
            <w:shd w:fill="F2F2F2" w:val="clear"/>
            <w:tcMar>
              <w:top w:type="dxa" w:w="60"/>
              <w:left w:type="dxa" w:w="100"/>
              <w:bottom w:type="dxa" w:w="60"/>
              <w:right w:type="dxa" w:w="100"/>
            </w:tcMar>
            <w:vAlign w:val="center"/>
          </w:tcPr>
          <w:p>
            <w:pPr>
              <w:jc w:val="center"/>
            </w:pPr>
            <w:r>
              <w:rPr>
                <w:b w:val="false"/>
                <w:bCs w:val="false"/>
                <w:sz w:val="20"/>
                <w:szCs w:val="20"/>
              </w:rPr>
              <w:t xml:space="preserve">Text</w:t>
            </w:r>
          </w:p>
        </w:tc>
        <w:tc>
          <w:tcPr>
            <w:tcW w:type="dxa" w:w="5980"/>
            <w:shd w:fill="F2F2F2" w:val="clear"/>
            <w:tcMar>
              <w:top w:type="dxa" w:w="60"/>
              <w:left w:type="dxa" w:w="100"/>
              <w:bottom w:type="dxa" w:w="60"/>
              <w:right w:type="dxa" w:w="100"/>
            </w:tcMar>
            <w:vAlign w:val="center"/>
          </w:tcPr>
          <w:p>
            <w:pPr>
              <w:jc w:val="center"/>
            </w:pPr>
            <w:r>
              <w:rPr>
                <w:b w:val="false"/>
                <w:bCs w:val="false"/>
                <w:sz w:val="20"/>
                <w:szCs w:val="20"/>
              </w:rPr>
              <w:t xml:space="preserve">Unique customer identifier</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Segment</w:t>
            </w:r>
          </w:p>
        </w:tc>
        <w:tc>
          <w:tcPr>
            <w:tcW w:type="dxa" w:w="1600"/>
            <w:tcMar>
              <w:top w:type="dxa" w:w="60"/>
              <w:left w:type="dxa" w:w="100"/>
              <w:bottom w:type="dxa" w:w="60"/>
              <w:right w:type="dxa" w:w="100"/>
            </w:tcMar>
            <w:vAlign w:val="center"/>
          </w:tcPr>
          <w:p>
            <w:pPr>
              <w:jc w:val="center"/>
            </w:pPr>
            <w:r>
              <w:rPr>
                <w:b w:val="false"/>
                <w:bCs w:val="false"/>
                <w:sz w:val="20"/>
                <w:szCs w:val="20"/>
              </w:rPr>
              <w:t xml:space="preserve">Category</w:t>
            </w:r>
          </w:p>
        </w:tc>
        <w:tc>
          <w:tcPr>
            <w:tcW w:type="dxa" w:w="5980"/>
            <w:tcMar>
              <w:top w:type="dxa" w:w="60"/>
              <w:left w:type="dxa" w:w="100"/>
              <w:bottom w:type="dxa" w:w="60"/>
              <w:right w:type="dxa" w:w="100"/>
            </w:tcMar>
            <w:vAlign w:val="center"/>
          </w:tcPr>
          <w:p>
            <w:pPr>
              <w:jc w:val="center"/>
            </w:pPr>
            <w:r>
              <w:rPr>
                <w:b w:val="false"/>
                <w:bCs w:val="false"/>
                <w:sz w:val="20"/>
                <w:szCs w:val="20"/>
              </w:rPr>
              <w:t xml:space="preserve">Consumer, Corporate, or Home Office</w:t>
            </w:r>
          </w:p>
        </w:tc>
      </w:tr>
      <w:tr>
        <w:tc>
          <w:tcPr>
            <w:tcW w:type="dxa" w:w="2200"/>
            <w:shd w:fill="F2F2F2" w:val="clear"/>
            <w:tcMar>
              <w:top w:type="dxa" w:w="60"/>
              <w:left w:type="dxa" w:w="100"/>
              <w:bottom w:type="dxa" w:w="60"/>
              <w:right w:type="dxa" w:w="100"/>
            </w:tcMar>
            <w:vAlign w:val="center"/>
          </w:tcPr>
          <w:p>
            <w:pPr>
              <w:jc w:val="left"/>
            </w:pPr>
            <w:r>
              <w:rPr>
                <w:b w:val="false"/>
                <w:bCs w:val="false"/>
                <w:sz w:val="20"/>
                <w:szCs w:val="20"/>
              </w:rPr>
              <w:t xml:space="preserve">Region / State</w:t>
            </w:r>
          </w:p>
        </w:tc>
        <w:tc>
          <w:tcPr>
            <w:tcW w:type="dxa" w:w="1600"/>
            <w:shd w:fill="F2F2F2" w:val="clear"/>
            <w:tcMar>
              <w:top w:type="dxa" w:w="60"/>
              <w:left w:type="dxa" w:w="100"/>
              <w:bottom w:type="dxa" w:w="60"/>
              <w:right w:type="dxa" w:w="100"/>
            </w:tcMar>
            <w:vAlign w:val="center"/>
          </w:tcPr>
          <w:p>
            <w:pPr>
              <w:jc w:val="center"/>
            </w:pPr>
            <w:r>
              <w:rPr>
                <w:b w:val="false"/>
                <w:bCs w:val="false"/>
                <w:sz w:val="20"/>
                <w:szCs w:val="20"/>
              </w:rPr>
              <w:t xml:space="preserve">Category</w:t>
            </w:r>
          </w:p>
        </w:tc>
        <w:tc>
          <w:tcPr>
            <w:tcW w:type="dxa" w:w="5980"/>
            <w:shd w:fill="F2F2F2" w:val="clear"/>
            <w:tcMar>
              <w:top w:type="dxa" w:w="60"/>
              <w:left w:type="dxa" w:w="100"/>
              <w:bottom w:type="dxa" w:w="60"/>
              <w:right w:type="dxa" w:w="100"/>
            </w:tcMar>
            <w:vAlign w:val="center"/>
          </w:tcPr>
          <w:p>
            <w:pPr>
              <w:jc w:val="center"/>
            </w:pPr>
            <w:r>
              <w:rPr>
                <w:b w:val="false"/>
                <w:bCs w:val="false"/>
                <w:sz w:val="20"/>
                <w:szCs w:val="20"/>
              </w:rPr>
              <w:t xml:space="preserve">US sales region and state</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Category / Sub-Category</w:t>
            </w:r>
          </w:p>
        </w:tc>
        <w:tc>
          <w:tcPr>
            <w:tcW w:type="dxa" w:w="1600"/>
            <w:tcMar>
              <w:top w:type="dxa" w:w="60"/>
              <w:left w:type="dxa" w:w="100"/>
              <w:bottom w:type="dxa" w:w="60"/>
              <w:right w:type="dxa" w:w="100"/>
            </w:tcMar>
            <w:vAlign w:val="center"/>
          </w:tcPr>
          <w:p>
            <w:pPr>
              <w:jc w:val="center"/>
            </w:pPr>
            <w:r>
              <w:rPr>
                <w:b w:val="false"/>
                <w:bCs w:val="false"/>
                <w:sz w:val="20"/>
                <w:szCs w:val="20"/>
              </w:rPr>
              <w:t xml:space="preserve">Category</w:t>
            </w:r>
          </w:p>
        </w:tc>
        <w:tc>
          <w:tcPr>
            <w:tcW w:type="dxa" w:w="5980"/>
            <w:tcMar>
              <w:top w:type="dxa" w:w="60"/>
              <w:left w:type="dxa" w:w="100"/>
              <w:bottom w:type="dxa" w:w="60"/>
              <w:right w:type="dxa" w:w="100"/>
            </w:tcMar>
            <w:vAlign w:val="center"/>
          </w:tcPr>
          <w:p>
            <w:pPr>
              <w:jc w:val="center"/>
            </w:pPr>
            <w:r>
              <w:rPr>
                <w:b w:val="false"/>
                <w:bCs w:val="false"/>
                <w:sz w:val="20"/>
                <w:szCs w:val="20"/>
              </w:rPr>
              <w:t xml:space="preserve">Product hierarchy (3 categories, 17 sub-categories)</w:t>
            </w:r>
          </w:p>
        </w:tc>
      </w:tr>
      <w:tr>
        <w:tc>
          <w:tcPr>
            <w:tcW w:type="dxa" w:w="2200"/>
            <w:shd w:fill="F2F2F2" w:val="clear"/>
            <w:tcMar>
              <w:top w:type="dxa" w:w="60"/>
              <w:left w:type="dxa" w:w="100"/>
              <w:bottom w:type="dxa" w:w="60"/>
              <w:right w:type="dxa" w:w="100"/>
            </w:tcMar>
            <w:vAlign w:val="center"/>
          </w:tcPr>
          <w:p>
            <w:pPr>
              <w:jc w:val="left"/>
            </w:pPr>
            <w:r>
              <w:rPr>
                <w:b w:val="false"/>
                <w:bCs w:val="false"/>
                <w:sz w:val="20"/>
                <w:szCs w:val="20"/>
              </w:rPr>
              <w:t xml:space="preserve">Product ID</w:t>
            </w:r>
          </w:p>
        </w:tc>
        <w:tc>
          <w:tcPr>
            <w:tcW w:type="dxa" w:w="1600"/>
            <w:shd w:fill="F2F2F2" w:val="clear"/>
            <w:tcMar>
              <w:top w:type="dxa" w:w="60"/>
              <w:left w:type="dxa" w:w="100"/>
              <w:bottom w:type="dxa" w:w="60"/>
              <w:right w:type="dxa" w:w="100"/>
            </w:tcMar>
            <w:vAlign w:val="center"/>
          </w:tcPr>
          <w:p>
            <w:pPr>
              <w:jc w:val="center"/>
            </w:pPr>
            <w:r>
              <w:rPr>
                <w:b w:val="false"/>
                <w:bCs w:val="false"/>
                <w:sz w:val="20"/>
                <w:szCs w:val="20"/>
              </w:rPr>
              <w:t xml:space="preserve">Text</w:t>
            </w:r>
          </w:p>
        </w:tc>
        <w:tc>
          <w:tcPr>
            <w:tcW w:type="dxa" w:w="5980"/>
            <w:shd w:fill="F2F2F2" w:val="clear"/>
            <w:tcMar>
              <w:top w:type="dxa" w:w="60"/>
              <w:left w:type="dxa" w:w="100"/>
              <w:bottom w:type="dxa" w:w="60"/>
              <w:right w:type="dxa" w:w="100"/>
            </w:tcMar>
            <w:vAlign w:val="center"/>
          </w:tcPr>
          <w:p>
            <w:pPr>
              <w:jc w:val="center"/>
            </w:pPr>
            <w:r>
              <w:rPr>
                <w:b w:val="false"/>
                <w:bCs w:val="false"/>
                <w:sz w:val="20"/>
                <w:szCs w:val="20"/>
              </w:rPr>
              <w:t xml:space="preserve">Unique product identifier</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Sales</w:t>
            </w:r>
          </w:p>
        </w:tc>
        <w:tc>
          <w:tcPr>
            <w:tcW w:type="dxa" w:w="1600"/>
            <w:tcMar>
              <w:top w:type="dxa" w:w="60"/>
              <w:left w:type="dxa" w:w="100"/>
              <w:bottom w:type="dxa" w:w="60"/>
              <w:right w:type="dxa" w:w="100"/>
            </w:tcMar>
            <w:vAlign w:val="center"/>
          </w:tcPr>
          <w:p>
            <w:pPr>
              <w:jc w:val="center"/>
            </w:pPr>
            <w:r>
              <w:rPr>
                <w:b w:val="false"/>
                <w:bCs w:val="false"/>
                <w:sz w:val="20"/>
                <w:szCs w:val="20"/>
              </w:rPr>
              <w:t xml:space="preserve">Numeric ($)</w:t>
            </w:r>
          </w:p>
        </w:tc>
        <w:tc>
          <w:tcPr>
            <w:tcW w:type="dxa" w:w="5980"/>
            <w:tcMar>
              <w:top w:type="dxa" w:w="60"/>
              <w:left w:type="dxa" w:w="100"/>
              <w:bottom w:type="dxa" w:w="60"/>
              <w:right w:type="dxa" w:w="100"/>
            </w:tcMar>
            <w:vAlign w:val="center"/>
          </w:tcPr>
          <w:p>
            <w:pPr>
              <w:jc w:val="center"/>
            </w:pPr>
            <w:r>
              <w:rPr>
                <w:b w:val="false"/>
                <w:bCs w:val="false"/>
                <w:sz w:val="20"/>
                <w:szCs w:val="20"/>
              </w:rPr>
              <w:t xml:space="preserve">Extended sales value of the line item</w:t>
            </w:r>
          </w:p>
        </w:tc>
      </w:tr>
      <w:tr>
        <w:tc>
          <w:tcPr>
            <w:tcW w:type="dxa" w:w="2200"/>
            <w:shd w:fill="F2F2F2" w:val="clear"/>
            <w:tcMar>
              <w:top w:type="dxa" w:w="60"/>
              <w:left w:type="dxa" w:w="100"/>
              <w:bottom w:type="dxa" w:w="60"/>
              <w:right w:type="dxa" w:w="100"/>
            </w:tcMar>
            <w:vAlign w:val="center"/>
          </w:tcPr>
          <w:p>
            <w:pPr>
              <w:jc w:val="left"/>
            </w:pPr>
            <w:r>
              <w:rPr>
                <w:b w:val="false"/>
                <w:bCs w:val="false"/>
                <w:sz w:val="20"/>
                <w:szCs w:val="20"/>
              </w:rPr>
              <w:t xml:space="preserve">Quantity</w:t>
            </w:r>
          </w:p>
        </w:tc>
        <w:tc>
          <w:tcPr>
            <w:tcW w:type="dxa" w:w="1600"/>
            <w:shd w:fill="F2F2F2" w:val="clear"/>
            <w:tcMar>
              <w:top w:type="dxa" w:w="60"/>
              <w:left w:type="dxa" w:w="100"/>
              <w:bottom w:type="dxa" w:w="60"/>
              <w:right w:type="dxa" w:w="100"/>
            </w:tcMar>
            <w:vAlign w:val="center"/>
          </w:tcPr>
          <w:p>
            <w:pPr>
              <w:jc w:val="center"/>
            </w:pPr>
            <w:r>
              <w:rPr>
                <w:b w:val="false"/>
                <w:bCs w:val="false"/>
                <w:sz w:val="20"/>
                <w:szCs w:val="20"/>
              </w:rPr>
              <w:t xml:space="preserve">Integer</w:t>
            </w:r>
          </w:p>
        </w:tc>
        <w:tc>
          <w:tcPr>
            <w:tcW w:type="dxa" w:w="5980"/>
            <w:shd w:fill="F2F2F2" w:val="clear"/>
            <w:tcMar>
              <w:top w:type="dxa" w:w="60"/>
              <w:left w:type="dxa" w:w="100"/>
              <w:bottom w:type="dxa" w:w="60"/>
              <w:right w:type="dxa" w:w="100"/>
            </w:tcMar>
            <w:vAlign w:val="center"/>
          </w:tcPr>
          <w:p>
            <w:pPr>
              <w:jc w:val="center"/>
            </w:pPr>
            <w:r>
              <w:rPr>
                <w:b w:val="false"/>
                <w:bCs w:val="false"/>
                <w:sz w:val="20"/>
                <w:szCs w:val="20"/>
              </w:rPr>
              <w:t xml:space="preserve">Units ordered</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Discount</w:t>
            </w:r>
          </w:p>
        </w:tc>
        <w:tc>
          <w:tcPr>
            <w:tcW w:type="dxa" w:w="1600"/>
            <w:tcMar>
              <w:top w:type="dxa" w:w="60"/>
              <w:left w:type="dxa" w:w="100"/>
              <w:bottom w:type="dxa" w:w="60"/>
              <w:right w:type="dxa" w:w="100"/>
            </w:tcMar>
            <w:vAlign w:val="center"/>
          </w:tcPr>
          <w:p>
            <w:pPr>
              <w:jc w:val="center"/>
            </w:pPr>
            <w:r>
              <w:rPr>
                <w:b w:val="false"/>
                <w:bCs w:val="false"/>
                <w:sz w:val="20"/>
                <w:szCs w:val="20"/>
              </w:rPr>
              <w:t xml:space="preserve">Numeric (0–1)</w:t>
            </w:r>
          </w:p>
        </w:tc>
        <w:tc>
          <w:tcPr>
            <w:tcW w:type="dxa" w:w="5980"/>
            <w:tcMar>
              <w:top w:type="dxa" w:w="60"/>
              <w:left w:type="dxa" w:w="100"/>
              <w:bottom w:type="dxa" w:w="60"/>
              <w:right w:type="dxa" w:w="100"/>
            </w:tcMar>
            <w:vAlign w:val="center"/>
          </w:tcPr>
          <w:p>
            <w:pPr>
              <w:jc w:val="center"/>
            </w:pPr>
            <w:r>
              <w:rPr>
                <w:b w:val="false"/>
                <w:bCs w:val="false"/>
                <w:sz w:val="20"/>
                <w:szCs w:val="20"/>
              </w:rPr>
              <w:t xml:space="preserve">Discount rate applied to the line item</w:t>
            </w:r>
          </w:p>
        </w:tc>
      </w:tr>
      <w:tr>
        <w:tc>
          <w:tcPr>
            <w:tcW w:type="dxa" w:w="2200"/>
            <w:shd w:fill="F2F2F2" w:val="clear"/>
            <w:tcMar>
              <w:top w:type="dxa" w:w="60"/>
              <w:left w:type="dxa" w:w="100"/>
              <w:bottom w:type="dxa" w:w="60"/>
              <w:right w:type="dxa" w:w="100"/>
            </w:tcMar>
            <w:vAlign w:val="center"/>
          </w:tcPr>
          <w:p>
            <w:pPr>
              <w:jc w:val="left"/>
            </w:pPr>
            <w:r>
              <w:rPr>
                <w:b w:val="false"/>
                <w:bCs w:val="false"/>
                <w:sz w:val="20"/>
                <w:szCs w:val="20"/>
              </w:rPr>
              <w:t xml:space="preserve">Profit</w:t>
            </w:r>
          </w:p>
        </w:tc>
        <w:tc>
          <w:tcPr>
            <w:tcW w:type="dxa" w:w="1600"/>
            <w:shd w:fill="F2F2F2" w:val="clear"/>
            <w:tcMar>
              <w:top w:type="dxa" w:w="60"/>
              <w:left w:type="dxa" w:w="100"/>
              <w:bottom w:type="dxa" w:w="60"/>
              <w:right w:type="dxa" w:w="100"/>
            </w:tcMar>
            <w:vAlign w:val="center"/>
          </w:tcPr>
          <w:p>
            <w:pPr>
              <w:jc w:val="center"/>
            </w:pPr>
            <w:r>
              <w:rPr>
                <w:b w:val="false"/>
                <w:bCs w:val="false"/>
                <w:sz w:val="20"/>
                <w:szCs w:val="20"/>
              </w:rPr>
              <w:t xml:space="preserve">Numeric ($)</w:t>
            </w:r>
          </w:p>
        </w:tc>
        <w:tc>
          <w:tcPr>
            <w:tcW w:type="dxa" w:w="5980"/>
            <w:shd w:fill="F2F2F2" w:val="clear"/>
            <w:tcMar>
              <w:top w:type="dxa" w:w="60"/>
              <w:left w:type="dxa" w:w="100"/>
              <w:bottom w:type="dxa" w:w="60"/>
              <w:right w:type="dxa" w:w="100"/>
            </w:tcMar>
            <w:vAlign w:val="center"/>
          </w:tcPr>
          <w:p>
            <w:pPr>
              <w:jc w:val="center"/>
            </w:pPr>
            <w:r>
              <w:rPr>
                <w:b w:val="false"/>
                <w:bCs w:val="false"/>
                <w:sz w:val="20"/>
                <w:szCs w:val="20"/>
              </w:rPr>
              <w:t xml:space="preserve">Net profit (can be negative)</w:t>
            </w:r>
          </w:p>
        </w:tc>
      </w:tr>
    </w:tbl>
    <w:p>
      <w:pPr>
        <w:spacing w:after="260" w:before="60"/>
        <w:jc w:val="center"/>
      </w:pPr>
      <w:r>
        <w:rPr>
          <w:i/>
          <w:iCs/>
          <w:color w:val="595959"/>
          <w:sz w:val="19"/>
          <w:szCs w:val="19"/>
        </w:rPr>
        <w:t xml:space="preserve">Table 1. Core fields used in the analysis.</w:t>
      </w:r>
    </w:p>
    <w:p>
      <w:pPr>
        <w:pStyle w:val="Heading2"/>
        <w:spacing w:after="120" w:before="280"/>
      </w:pPr>
      <w:r>
        <w:t xml:space="preserve">3.3 Data Quality Check</w:t>
      </w:r>
    </w:p>
    <w:p>
      <w:pPr>
        <w:spacing w:after="160" w:line="276"/>
      </w:pPr>
      <w:r>
        <w:t xml:space="preserve">A structural check found 9,994 rows and zero missing values across all analytical fields, so no imputation was required. Field types were validated (dates parsed correctly, numeric fields free of text contamination), and 799 distinct customers and 17 sub-categories were confirmed against the expected schema. Duplicate Row IDs: none found.</w:t>
      </w:r>
    </w:p>
    <w:p>
      <w:pPr>
        <w:pStyle w:val="Heading3"/>
        <w:spacing w:after="100" w:before="220"/>
      </w:pPr>
      <w:r>
        <w:t xml:space="preserve">Descriptive statistics (key numeric fields)</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gridCol w:w="138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20"/>
                <w:szCs w:val="20"/>
              </w:rPr>
              <w:t xml:space="preserve">Field</w:t>
            </w:r>
          </w:p>
        </w:tc>
        <w:tc>
          <w:tcPr>
            <w:tcW w:type="dxa" w:w="1500"/>
            <w:shd w:fill="1F3864" w:val="clear"/>
            <w:tcMar>
              <w:top w:type="dxa" w:w="60"/>
              <w:left w:type="dxa" w:w="100"/>
              <w:bottom w:type="dxa" w:w="60"/>
              <w:right w:type="dxa" w:w="100"/>
            </w:tcMar>
            <w:vAlign w:val="center"/>
          </w:tcPr>
          <w:p>
            <w:pPr>
              <w:jc w:val="center"/>
            </w:pPr>
            <w:r>
              <w:rPr>
                <w:b/>
                <w:bCs/>
                <w:color w:val="FFFFFF"/>
                <w:sz w:val="20"/>
                <w:szCs w:val="20"/>
              </w:rPr>
              <w:t xml:space="preserve">Mean</w:t>
            </w:r>
          </w:p>
        </w:tc>
        <w:tc>
          <w:tcPr>
            <w:tcW w:type="dxa" w:w="1500"/>
            <w:shd w:fill="1F3864" w:val="clear"/>
            <w:tcMar>
              <w:top w:type="dxa" w:w="60"/>
              <w:left w:type="dxa" w:w="100"/>
              <w:bottom w:type="dxa" w:w="60"/>
              <w:right w:type="dxa" w:w="100"/>
            </w:tcMar>
            <w:vAlign w:val="center"/>
          </w:tcPr>
          <w:p>
            <w:pPr>
              <w:jc w:val="center"/>
            </w:pPr>
            <w:r>
              <w:rPr>
                <w:b/>
                <w:bCs/>
                <w:color w:val="FFFFFF"/>
                <w:sz w:val="20"/>
                <w:szCs w:val="20"/>
              </w:rPr>
              <w:t xml:space="preserve">Std Dev</w:t>
            </w:r>
          </w:p>
        </w:tc>
        <w:tc>
          <w:tcPr>
            <w:tcW w:type="dxa" w:w="1500"/>
            <w:shd w:fill="1F3864" w:val="clear"/>
            <w:tcMar>
              <w:top w:type="dxa" w:w="60"/>
              <w:left w:type="dxa" w:w="100"/>
              <w:bottom w:type="dxa" w:w="60"/>
              <w:right w:type="dxa" w:w="100"/>
            </w:tcMar>
            <w:vAlign w:val="center"/>
          </w:tcPr>
          <w:p>
            <w:pPr>
              <w:jc w:val="center"/>
            </w:pPr>
            <w:r>
              <w:rPr>
                <w:b/>
                <w:bCs/>
                <w:color w:val="FFFFFF"/>
                <w:sz w:val="20"/>
                <w:szCs w:val="20"/>
              </w:rPr>
              <w:t xml:space="preserve">Min</w:t>
            </w:r>
          </w:p>
        </w:tc>
        <w:tc>
          <w:tcPr>
            <w:tcW w:type="dxa" w:w="1500"/>
            <w:shd w:fill="1F3864" w:val="clear"/>
            <w:tcMar>
              <w:top w:type="dxa" w:w="60"/>
              <w:left w:type="dxa" w:w="100"/>
              <w:bottom w:type="dxa" w:w="60"/>
              <w:right w:type="dxa" w:w="100"/>
            </w:tcMar>
            <w:vAlign w:val="center"/>
          </w:tcPr>
          <w:p>
            <w:pPr>
              <w:jc w:val="center"/>
            </w:pPr>
            <w:r>
              <w:rPr>
                <w:b/>
                <w:bCs/>
                <w:color w:val="FFFFFF"/>
                <w:sz w:val="20"/>
                <w:szCs w:val="20"/>
              </w:rPr>
              <w:t xml:space="preserve">Median</w:t>
            </w:r>
          </w:p>
        </w:tc>
        <w:tc>
          <w:tcPr>
            <w:tcW w:type="dxa" w:w="1380"/>
            <w:shd w:fill="1F3864" w:val="clear"/>
            <w:tcMar>
              <w:top w:type="dxa" w:w="60"/>
              <w:left w:type="dxa" w:w="100"/>
              <w:bottom w:type="dxa" w:w="60"/>
              <w:right w:type="dxa" w:w="100"/>
            </w:tcMar>
            <w:vAlign w:val="center"/>
          </w:tcPr>
          <w:p>
            <w:pPr>
              <w:jc w:val="center"/>
            </w:pPr>
            <w:r>
              <w:rPr>
                <w:b/>
                <w:bCs/>
                <w:color w:val="FFFFFF"/>
                <w:sz w:val="20"/>
                <w:szCs w:val="20"/>
              </w:rPr>
              <w:t xml:space="preserve">Max</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Sales ($)</w:t>
            </w:r>
          </w:p>
        </w:tc>
        <w:tc>
          <w:tcPr>
            <w:tcW w:type="dxa" w:w="1500"/>
            <w:tcMar>
              <w:top w:type="dxa" w:w="60"/>
              <w:left w:type="dxa" w:w="100"/>
              <w:bottom w:type="dxa" w:w="60"/>
              <w:right w:type="dxa" w:w="100"/>
            </w:tcMar>
            <w:vAlign w:val="center"/>
          </w:tcPr>
          <w:p>
            <w:pPr>
              <w:jc w:val="center"/>
            </w:pPr>
            <w:r>
              <w:rPr>
                <w:b w:val="false"/>
                <w:bCs w:val="false"/>
                <w:sz w:val="20"/>
                <w:szCs w:val="20"/>
              </w:rPr>
              <w:t xml:space="preserve">263.47</w:t>
            </w:r>
          </w:p>
        </w:tc>
        <w:tc>
          <w:tcPr>
            <w:tcW w:type="dxa" w:w="1500"/>
            <w:tcMar>
              <w:top w:type="dxa" w:w="60"/>
              <w:left w:type="dxa" w:w="100"/>
              <w:bottom w:type="dxa" w:w="60"/>
              <w:right w:type="dxa" w:w="100"/>
            </w:tcMar>
            <w:vAlign w:val="center"/>
          </w:tcPr>
          <w:p>
            <w:pPr>
              <w:jc w:val="center"/>
            </w:pPr>
            <w:r>
              <w:rPr>
                <w:b w:val="false"/>
                <w:bCs w:val="false"/>
                <w:sz w:val="20"/>
                <w:szCs w:val="20"/>
              </w:rPr>
              <w:t xml:space="preserve">531.50</w:t>
            </w:r>
          </w:p>
        </w:tc>
        <w:tc>
          <w:tcPr>
            <w:tcW w:type="dxa" w:w="1500"/>
            <w:tcMar>
              <w:top w:type="dxa" w:w="60"/>
              <w:left w:type="dxa" w:w="100"/>
              <w:bottom w:type="dxa" w:w="60"/>
              <w:right w:type="dxa" w:w="100"/>
            </w:tcMar>
            <w:vAlign w:val="center"/>
          </w:tcPr>
          <w:p>
            <w:pPr>
              <w:jc w:val="center"/>
            </w:pPr>
            <w:r>
              <w:rPr>
                <w:b w:val="false"/>
                <w:bCs w:val="false"/>
                <w:sz w:val="20"/>
                <w:szCs w:val="20"/>
              </w:rPr>
              <w:t xml:space="preserve">2.05</w:t>
            </w:r>
          </w:p>
        </w:tc>
        <w:tc>
          <w:tcPr>
            <w:tcW w:type="dxa" w:w="1500"/>
            <w:tcMar>
              <w:top w:type="dxa" w:w="60"/>
              <w:left w:type="dxa" w:w="100"/>
              <w:bottom w:type="dxa" w:w="60"/>
              <w:right w:type="dxa" w:w="100"/>
            </w:tcMar>
            <w:vAlign w:val="center"/>
          </w:tcPr>
          <w:p>
            <w:pPr>
              <w:jc w:val="center"/>
            </w:pPr>
            <w:r>
              <w:rPr>
                <w:b w:val="false"/>
                <w:bCs w:val="false"/>
                <w:sz w:val="20"/>
                <w:szCs w:val="20"/>
              </w:rPr>
              <w:t xml:space="preserve">58.02</w:t>
            </w:r>
          </w:p>
        </w:tc>
        <w:tc>
          <w:tcPr>
            <w:tcW w:type="dxa" w:w="1380"/>
            <w:tcMar>
              <w:top w:type="dxa" w:w="60"/>
              <w:left w:type="dxa" w:w="100"/>
              <w:bottom w:type="dxa" w:w="60"/>
              <w:right w:type="dxa" w:w="100"/>
            </w:tcMar>
            <w:vAlign w:val="center"/>
          </w:tcPr>
          <w:p>
            <w:pPr>
              <w:jc w:val="center"/>
            </w:pPr>
            <w:r>
              <w:rPr>
                <w:b w:val="false"/>
                <w:bCs w:val="false"/>
                <w:sz w:val="20"/>
                <w:szCs w:val="20"/>
              </w:rPr>
              <w:t xml:space="preserve">6584.79</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Quantity</w:t>
            </w:r>
          </w:p>
        </w:tc>
        <w:tc>
          <w:tcPr>
            <w:tcW w:type="dxa" w:w="1500"/>
            <w:shd w:fill="F2F2F2" w:val="clear"/>
            <w:tcMar>
              <w:top w:type="dxa" w:w="60"/>
              <w:left w:type="dxa" w:w="100"/>
              <w:bottom w:type="dxa" w:w="60"/>
              <w:right w:type="dxa" w:w="100"/>
            </w:tcMar>
            <w:vAlign w:val="center"/>
          </w:tcPr>
          <w:p>
            <w:pPr>
              <w:jc w:val="center"/>
            </w:pPr>
            <w:r>
              <w:rPr>
                <w:b w:val="false"/>
                <w:bCs w:val="false"/>
                <w:sz w:val="20"/>
                <w:szCs w:val="20"/>
              </w:rPr>
              <w:t xml:space="preserve">3.98</w:t>
            </w:r>
          </w:p>
        </w:tc>
        <w:tc>
          <w:tcPr>
            <w:tcW w:type="dxa" w:w="1500"/>
            <w:shd w:fill="F2F2F2" w:val="clear"/>
            <w:tcMar>
              <w:top w:type="dxa" w:w="60"/>
              <w:left w:type="dxa" w:w="100"/>
              <w:bottom w:type="dxa" w:w="60"/>
              <w:right w:type="dxa" w:w="100"/>
            </w:tcMar>
            <w:vAlign w:val="center"/>
          </w:tcPr>
          <w:p>
            <w:pPr>
              <w:jc w:val="center"/>
            </w:pPr>
            <w:r>
              <w:rPr>
                <w:b w:val="false"/>
                <w:bCs w:val="false"/>
                <w:sz w:val="20"/>
                <w:szCs w:val="20"/>
              </w:rPr>
              <w:t xml:space="preserve">2.00</w:t>
            </w:r>
          </w:p>
        </w:tc>
        <w:tc>
          <w:tcPr>
            <w:tcW w:type="dxa" w:w="1500"/>
            <w:shd w:fill="F2F2F2" w:val="clear"/>
            <w:tcMar>
              <w:top w:type="dxa" w:w="60"/>
              <w:left w:type="dxa" w:w="100"/>
              <w:bottom w:type="dxa" w:w="60"/>
              <w:right w:type="dxa" w:w="100"/>
            </w:tcMar>
            <w:vAlign w:val="center"/>
          </w:tcPr>
          <w:p>
            <w:pPr>
              <w:jc w:val="center"/>
            </w:pPr>
            <w:r>
              <w:rPr>
                <w:b w:val="false"/>
                <w:bCs w:val="false"/>
                <w:sz w:val="20"/>
                <w:szCs w:val="20"/>
              </w:rPr>
              <w:t xml:space="preserve">1</w:t>
            </w:r>
          </w:p>
        </w:tc>
        <w:tc>
          <w:tcPr>
            <w:tcW w:type="dxa" w:w="1500"/>
            <w:shd w:fill="F2F2F2" w:val="clear"/>
            <w:tcMar>
              <w:top w:type="dxa" w:w="60"/>
              <w:left w:type="dxa" w:w="100"/>
              <w:bottom w:type="dxa" w:w="60"/>
              <w:right w:type="dxa" w:w="100"/>
            </w:tcMar>
            <w:vAlign w:val="center"/>
          </w:tcPr>
          <w:p>
            <w:pPr>
              <w:jc w:val="center"/>
            </w:pPr>
            <w:r>
              <w:rPr>
                <w:b w:val="false"/>
                <w:bCs w:val="false"/>
                <w:sz w:val="20"/>
                <w:szCs w:val="20"/>
              </w:rPr>
              <w:t xml:space="preserve">4</w:t>
            </w:r>
          </w:p>
        </w:tc>
        <w:tc>
          <w:tcPr>
            <w:tcW w:type="dxa" w:w="1380"/>
            <w:shd w:fill="F2F2F2" w:val="clear"/>
            <w:tcMar>
              <w:top w:type="dxa" w:w="60"/>
              <w:left w:type="dxa" w:w="100"/>
              <w:bottom w:type="dxa" w:w="60"/>
              <w:right w:type="dxa" w:w="100"/>
            </w:tcMar>
            <w:vAlign w:val="center"/>
          </w:tcPr>
          <w:p>
            <w:pPr>
              <w:jc w:val="center"/>
            </w:pPr>
            <w:r>
              <w:rPr>
                <w:b w:val="false"/>
                <w:bCs w:val="false"/>
                <w:sz w:val="20"/>
                <w:szCs w:val="20"/>
              </w:rPr>
              <w:t xml:space="preserve">7</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Discount</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0.14</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0.17</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0.00</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0.00</w:t>
            </w:r>
          </w:p>
        </w:tc>
        <w:tc>
          <w:tcPr>
            <w:tcW w:type="dxa" w:w="1380"/>
            <w:tcMar>
              <w:top w:type="dxa" w:w="60"/>
              <w:left w:type="dxa" w:w="100"/>
              <w:bottom w:type="dxa" w:w="60"/>
              <w:right w:type="dxa" w:w="100"/>
            </w:tcMar>
            <w:vAlign w:val="center"/>
          </w:tcPr>
          <w:p>
            <w:pPr>
              <w:jc w:val="center"/>
            </w:pPr>
            <w:r>
              <w:rPr>
                <w:b w:val="false"/>
                <w:bCs w:val="false"/>
                <w:sz w:val="20"/>
                <w:szCs w:val="20"/>
              </w:rPr>
              <w:t xml:space="preserve">0.70</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Profit ($)</w:t>
            </w:r>
          </w:p>
        </w:tc>
        <w:tc>
          <w:tcPr>
            <w:tcW w:type="dxa" w:w="1500"/>
            <w:shd w:fill="F2F2F2" w:val="clear"/>
            <w:tcMar>
              <w:top w:type="dxa" w:w="60"/>
              <w:left w:type="dxa" w:w="100"/>
              <w:bottom w:type="dxa" w:w="60"/>
              <w:right w:type="dxa" w:w="100"/>
            </w:tcMar>
            <w:vAlign w:val="center"/>
          </w:tcPr>
          <w:p>
            <w:pPr>
              <w:jc w:val="center"/>
            </w:pPr>
            <w:r>
              <w:rPr>
                <w:b w:val="false"/>
                <w:bCs w:val="false"/>
                <w:sz w:val="20"/>
                <w:szCs w:val="20"/>
              </w:rPr>
              <w:t xml:space="preserve">26.28</w:t>
            </w:r>
          </w:p>
        </w:tc>
        <w:tc>
          <w:tcPr>
            <w:tcW w:type="dxa" w:w="1500"/>
            <w:shd w:fill="F2F2F2" w:val="clear"/>
            <w:tcMar>
              <w:top w:type="dxa" w:w="60"/>
              <w:left w:type="dxa" w:w="100"/>
              <w:bottom w:type="dxa" w:w="60"/>
              <w:right w:type="dxa" w:w="100"/>
            </w:tcMar>
            <w:vAlign w:val="center"/>
          </w:tcPr>
          <w:p>
            <w:pPr>
              <w:jc w:val="center"/>
            </w:pPr>
            <w:r>
              <w:rPr>
                <w:b w:val="false"/>
                <w:bCs w:val="false"/>
                <w:sz w:val="20"/>
                <w:szCs w:val="20"/>
              </w:rPr>
              <w:t xml:space="preserve">115.58</w:t>
            </w:r>
          </w:p>
        </w:tc>
        <w:tc>
          <w:tcPr>
            <w:tcW w:type="dxa" w:w="1500"/>
            <w:shd w:fill="F2F2F2" w:val="clear"/>
            <w:tcMar>
              <w:top w:type="dxa" w:w="60"/>
              <w:left w:type="dxa" w:w="100"/>
              <w:bottom w:type="dxa" w:w="60"/>
              <w:right w:type="dxa" w:w="100"/>
            </w:tcMar>
            <w:vAlign w:val="center"/>
          </w:tcPr>
          <w:p>
            <w:pPr>
              <w:jc w:val="center"/>
            </w:pPr>
            <w:r>
              <w:rPr>
                <w:b w:val="false"/>
                <w:bCs w:val="false"/>
                <w:sz w:val="20"/>
                <w:szCs w:val="20"/>
              </w:rPr>
              <w:t xml:space="preserve">-1039.34</w:t>
            </w:r>
          </w:p>
        </w:tc>
        <w:tc>
          <w:tcPr>
            <w:tcW w:type="dxa" w:w="1500"/>
            <w:shd w:fill="F2F2F2" w:val="clear"/>
            <w:tcMar>
              <w:top w:type="dxa" w:w="60"/>
              <w:left w:type="dxa" w:w="100"/>
              <w:bottom w:type="dxa" w:w="60"/>
              <w:right w:type="dxa" w:w="100"/>
            </w:tcMar>
            <w:vAlign w:val="center"/>
          </w:tcPr>
          <w:p>
            <w:pPr>
              <w:jc w:val="center"/>
            </w:pPr>
            <w:r>
              <w:rPr>
                <w:b w:val="false"/>
                <w:bCs w:val="false"/>
                <w:sz w:val="20"/>
                <w:szCs w:val="20"/>
              </w:rPr>
              <w:t xml:space="preserve">9.59</w:t>
            </w:r>
          </w:p>
        </w:tc>
        <w:tc>
          <w:tcPr>
            <w:tcW w:type="dxa" w:w="1380"/>
            <w:shd w:fill="F2F2F2" w:val="clear"/>
            <w:tcMar>
              <w:top w:type="dxa" w:w="60"/>
              <w:left w:type="dxa" w:w="100"/>
              <w:bottom w:type="dxa" w:w="60"/>
              <w:right w:type="dxa" w:w="100"/>
            </w:tcMar>
            <w:vAlign w:val="center"/>
          </w:tcPr>
          <w:p>
            <w:pPr>
              <w:jc w:val="center"/>
            </w:pPr>
            <w:r>
              <w:rPr>
                <w:b w:val="false"/>
                <w:bCs w:val="false"/>
                <w:sz w:val="20"/>
                <w:szCs w:val="20"/>
              </w:rPr>
              <w:t xml:space="preserve">2083.29</w:t>
            </w:r>
          </w:p>
        </w:tc>
      </w:tr>
    </w:tbl>
    <w:p>
      <w:pPr>
        <w:spacing w:after="260" w:before="60"/>
        <w:jc w:val="center"/>
      </w:pPr>
      <w:r>
        <w:rPr>
          <w:i/>
          <w:iCs/>
          <w:color w:val="595959"/>
          <w:sz w:val="19"/>
          <w:szCs w:val="19"/>
        </w:rPr>
        <w:t xml:space="preserve">Table 2. Summary statistics for the four core numeric fields (9,994 line items).</w:t>
      </w:r>
    </w:p>
    <w:p>
      <w:pPr>
        <w:pStyle w:val="Heading1"/>
        <w:spacing w:after="160" w:before="360"/>
      </w:pPr>
      <w:r>
        <w:t xml:space="preserve">4. Methodology</w:t>
      </w:r>
    </w:p>
    <w:p>
      <w:pPr>
        <w:spacing w:after="160" w:line="276"/>
      </w:pPr>
      <w:r>
        <w:t xml:space="preserve">The EDA followed a standard four-stage workflow that mirrors how the same investigation would be structured inside Tableau:</w:t>
      </w:r>
    </w:p>
    <w:p>
      <w:pPr>
        <w:pStyle w:val="ListParagraph"/>
        <w:numPr>
          <w:ilvl w:val="0"/>
          <w:numId w:val="1"/>
        </w:numPr>
        <w:spacing w:after="90" w:line="268"/>
      </w:pPr>
      <w:r>
        <w:t xml:space="preserve">Connect &amp; Profile — load the flat file, confirm the schema, check for nulls/duplicates, and review field types (equivalent to Tableau's data-source pane and ‘Describe’ view).</w:t>
      </w:r>
    </w:p>
    <w:p>
      <w:pPr>
        <w:pStyle w:val="ListParagraph"/>
        <w:numPr>
          <w:ilvl w:val="0"/>
          <w:numId w:val="1"/>
        </w:numPr>
        <w:spacing w:after="90" w:line="268"/>
      </w:pPr>
      <w:r>
        <w:t xml:space="preserve">Univariate exploration — distribution and summary statistics for each numeric measure (Sales, Profit, Discount, Quantity).</w:t>
      </w:r>
    </w:p>
    <w:p>
      <w:pPr>
        <w:pStyle w:val="ListParagraph"/>
        <w:numPr>
          <w:ilvl w:val="0"/>
          <w:numId w:val="1"/>
        </w:numPr>
        <w:spacing w:after="90" w:line="268"/>
      </w:pPr>
      <w:r>
        <w:t xml:space="preserve">Bivariate / multivariate exploration — measures broken down by the key dimensions (Category, Region, Segment, Ship Mode, Discount, time) and by relationships between measures (e.g., Discount vs. Profit).</w:t>
      </w:r>
    </w:p>
    <w:p>
      <w:pPr>
        <w:pStyle w:val="ListParagraph"/>
        <w:numPr>
          <w:ilvl w:val="0"/>
          <w:numId w:val="1"/>
        </w:numPr>
        <w:spacing w:after="90" w:line="268"/>
      </w:pPr>
      <w:r>
        <w:t xml:space="preserve">Insight synthesis — consolidating patterns into a short list of prioritized, decision-relevant findings, each mapped to a specific Tableau chart type and build recipe.</w:t>
      </w:r>
    </w:p>
    <w:p>
      <w:pPr>
        <w:spacing w:after="160" w:line="276"/>
      </w:pPr>
      <w:r>
        <w:t xml:space="preserve">Statistical computation and chart prototyping for this report were carried out in Python (pandas for aggregation, Matplotlib for the exploratory plots reproduced below) so that every figure quoted in this document is fully reproducible from the raw data. Section 7 then specifies, view by view, how the same analysis is assembled natively in Tableau using shelves, marks cards, and calculated fields — the environment in which the final interactive dashboard is intended to be built.</w:t>
      </w:r>
    </w:p>
    <w:p>
      <w:pPr>
        <w:pStyle w:val="Heading1"/>
        <w:spacing w:after="160" w:before="360"/>
      </w:pPr>
      <w:r>
        <w:t xml:space="preserve">5. Exploratory Data Analysis</w:t>
      </w:r>
    </w:p>
    <w:p>
      <w:pPr>
        <w:pStyle w:val="Heading2"/>
        <w:spacing w:after="120" w:before="280"/>
      </w:pPr>
      <w:r>
        <w:t xml:space="preserve">5.1 Overall Performance (KPIs)</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4500"/>
        <w:gridCol w:w="4180"/>
      </w:tblGrid>
      <w:tr>
        <w:trPr>
          <w:tblHeader/>
        </w:trPr>
        <w:tc>
          <w:tcPr>
            <w:tcW w:type="dxa" w:w="4500"/>
            <w:shd w:fill="1F3864" w:val="clear"/>
            <w:tcMar>
              <w:top w:type="dxa" w:w="60"/>
              <w:left w:type="dxa" w:w="100"/>
              <w:bottom w:type="dxa" w:w="60"/>
              <w:right w:type="dxa" w:w="100"/>
            </w:tcMar>
            <w:vAlign w:val="center"/>
          </w:tcPr>
          <w:p>
            <w:pPr>
              <w:jc w:val="left"/>
            </w:pPr>
            <w:r>
              <w:rPr>
                <w:b/>
                <w:bCs/>
                <w:color w:val="FFFFFF"/>
                <w:sz w:val="20"/>
                <w:szCs w:val="20"/>
              </w:rPr>
              <w:t xml:space="preserve">Metric</w:t>
            </w:r>
          </w:p>
        </w:tc>
        <w:tc>
          <w:tcPr>
            <w:tcW w:type="dxa" w:w="4180"/>
            <w:shd w:fill="1F3864" w:val="clear"/>
            <w:tcMar>
              <w:top w:type="dxa" w:w="60"/>
              <w:left w:type="dxa" w:w="100"/>
              <w:bottom w:type="dxa" w:w="60"/>
              <w:right w:type="dxa" w:w="100"/>
            </w:tcMar>
            <w:vAlign w:val="center"/>
          </w:tcPr>
          <w:p>
            <w:pPr>
              <w:jc w:val="center"/>
            </w:pPr>
            <w:r>
              <w:rPr>
                <w:b/>
                <w:bCs/>
                <w:color w:val="FFFFFF"/>
                <w:sz w:val="20"/>
                <w:szCs w:val="20"/>
              </w:rPr>
              <w:t xml:space="preserve">Value</w:t>
            </w:r>
          </w:p>
        </w:tc>
      </w:tr>
      <w:tr>
        <w:tc>
          <w:tcPr>
            <w:tcW w:type="dxa" w:w="4500"/>
            <w:tcMar>
              <w:top w:type="dxa" w:w="60"/>
              <w:left w:type="dxa" w:w="100"/>
              <w:bottom w:type="dxa" w:w="60"/>
              <w:right w:type="dxa" w:w="100"/>
            </w:tcMar>
            <w:vAlign w:val="center"/>
          </w:tcPr>
          <w:p>
            <w:pPr>
              <w:jc w:val="left"/>
            </w:pPr>
            <w:r>
              <w:rPr>
                <w:b w:val="false"/>
                <w:bCs w:val="false"/>
                <w:sz w:val="20"/>
                <w:szCs w:val="20"/>
              </w:rPr>
              <w:t xml:space="preserve">Total Sales</w:t>
            </w:r>
          </w:p>
        </w:tc>
        <w:tc>
          <w:tcPr>
            <w:tcW w:type="dxa" w:w="4180"/>
            <w:tcMar>
              <w:top w:type="dxa" w:w="60"/>
              <w:left w:type="dxa" w:w="100"/>
              <w:bottom w:type="dxa" w:w="60"/>
              <w:right w:type="dxa" w:w="100"/>
            </w:tcMar>
            <w:vAlign w:val="center"/>
          </w:tcPr>
          <w:p>
            <w:pPr>
              <w:jc w:val="center"/>
            </w:pPr>
            <w:r>
              <w:rPr>
                <w:b w:val="false"/>
                <w:bCs w:val="false"/>
                <w:sz w:val="20"/>
                <w:szCs w:val="20"/>
              </w:rPr>
              <w:t xml:space="preserve">$2,633,129</w:t>
            </w:r>
          </w:p>
        </w:tc>
      </w:tr>
      <w:tr>
        <w:tc>
          <w:tcPr>
            <w:tcW w:type="dxa" w:w="4500"/>
            <w:shd w:fill="F2F2F2" w:val="clear"/>
            <w:tcMar>
              <w:top w:type="dxa" w:w="60"/>
              <w:left w:type="dxa" w:w="100"/>
              <w:bottom w:type="dxa" w:w="60"/>
              <w:right w:type="dxa" w:w="100"/>
            </w:tcMar>
            <w:vAlign w:val="center"/>
          </w:tcPr>
          <w:p>
            <w:pPr>
              <w:jc w:val="left"/>
            </w:pPr>
            <w:r>
              <w:rPr>
                <w:b w:val="false"/>
                <w:bCs w:val="false"/>
                <w:sz w:val="20"/>
                <w:szCs w:val="20"/>
              </w:rPr>
              <w:t xml:space="preserve">Total Profit</w:t>
            </w:r>
          </w:p>
        </w:tc>
        <w:tc>
          <w:tcPr>
            <w:tcW w:type="dxa" w:w="4180"/>
            <w:shd w:fill="F2F2F2" w:val="clear"/>
            <w:tcMar>
              <w:top w:type="dxa" w:w="60"/>
              <w:left w:type="dxa" w:w="100"/>
              <w:bottom w:type="dxa" w:w="60"/>
              <w:right w:type="dxa" w:w="100"/>
            </w:tcMar>
            <w:vAlign w:val="center"/>
          </w:tcPr>
          <w:p>
            <w:pPr>
              <w:jc w:val="center"/>
            </w:pPr>
            <w:r>
              <w:rPr>
                <w:b w:val="false"/>
                <w:bCs w:val="false"/>
                <w:sz w:val="20"/>
                <w:szCs w:val="20"/>
              </w:rPr>
              <w:t xml:space="preserve">$262,634</w:t>
            </w:r>
          </w:p>
        </w:tc>
      </w:tr>
      <w:tr>
        <w:tc>
          <w:tcPr>
            <w:tcW w:type="dxa" w:w="4500"/>
            <w:tcMar>
              <w:top w:type="dxa" w:w="60"/>
              <w:left w:type="dxa" w:w="100"/>
              <w:bottom w:type="dxa" w:w="60"/>
              <w:right w:type="dxa" w:w="100"/>
            </w:tcMar>
            <w:vAlign w:val="center"/>
          </w:tcPr>
          <w:p>
            <w:pPr>
              <w:jc w:val="left"/>
            </w:pPr>
            <w:r>
              <w:rPr>
                <w:b w:val="false"/>
                <w:bCs w:val="false"/>
                <w:sz w:val="20"/>
                <w:szCs w:val="20"/>
              </w:rPr>
              <w:t xml:space="preserve">Overall Profit Margin</w:t>
            </w:r>
          </w:p>
        </w:tc>
        <w:tc>
          <w:tcPr>
            <w:tcW w:type="dxa" w:w="4180"/>
            <w:tcMar>
              <w:top w:type="dxa" w:w="60"/>
              <w:left w:type="dxa" w:w="100"/>
              <w:bottom w:type="dxa" w:w="60"/>
              <w:right w:type="dxa" w:w="100"/>
            </w:tcMar>
            <w:vAlign w:val="center"/>
          </w:tcPr>
          <w:p>
            <w:pPr>
              <w:jc w:val="center"/>
            </w:pPr>
            <w:r>
              <w:rPr>
                <w:b w:val="false"/>
                <w:bCs w:val="false"/>
                <w:sz w:val="20"/>
                <w:szCs w:val="20"/>
              </w:rPr>
              <w:t xml:space="preserve">10.0%</w:t>
            </w:r>
          </w:p>
        </w:tc>
      </w:tr>
      <w:tr>
        <w:tc>
          <w:tcPr>
            <w:tcW w:type="dxa" w:w="4500"/>
            <w:shd w:fill="F2F2F2" w:val="clear"/>
            <w:tcMar>
              <w:top w:type="dxa" w:w="60"/>
              <w:left w:type="dxa" w:w="100"/>
              <w:bottom w:type="dxa" w:w="60"/>
              <w:right w:type="dxa" w:w="100"/>
            </w:tcMar>
            <w:vAlign w:val="center"/>
          </w:tcPr>
          <w:p>
            <w:pPr>
              <w:jc w:val="left"/>
            </w:pPr>
            <w:r>
              <w:rPr>
                <w:b w:val="false"/>
                <w:bCs w:val="false"/>
                <w:sz w:val="20"/>
                <w:szCs w:val="20"/>
              </w:rPr>
              <w:t xml:space="preserve">Total Orders</w:t>
            </w:r>
          </w:p>
        </w:tc>
        <w:tc>
          <w:tcPr>
            <w:tcW w:type="dxa" w:w="4180"/>
            <w:shd w:fill="F2F2F2" w:val="clear"/>
            <w:tcMar>
              <w:top w:type="dxa" w:w="60"/>
              <w:left w:type="dxa" w:w="100"/>
              <w:bottom w:type="dxa" w:w="60"/>
              <w:right w:type="dxa" w:w="100"/>
            </w:tcMar>
            <w:vAlign w:val="center"/>
          </w:tcPr>
          <w:p>
            <w:pPr>
              <w:jc w:val="center"/>
            </w:pPr>
            <w:r>
              <w:rPr>
                <w:b w:val="false"/>
                <w:bCs w:val="false"/>
                <w:sz w:val="20"/>
                <w:szCs w:val="20"/>
              </w:rPr>
              <w:t xml:space="preserve">7,657</w:t>
            </w:r>
          </w:p>
        </w:tc>
      </w:tr>
      <w:tr>
        <w:tc>
          <w:tcPr>
            <w:tcW w:type="dxa" w:w="4500"/>
            <w:tcMar>
              <w:top w:type="dxa" w:w="60"/>
              <w:left w:type="dxa" w:w="100"/>
              <w:bottom w:type="dxa" w:w="60"/>
              <w:right w:type="dxa" w:w="100"/>
            </w:tcMar>
            <w:vAlign w:val="center"/>
          </w:tcPr>
          <w:p>
            <w:pPr>
              <w:jc w:val="left"/>
            </w:pPr>
            <w:r>
              <w:rPr>
                <w:b w:val="false"/>
                <w:bCs w:val="false"/>
                <w:sz w:val="20"/>
                <w:szCs w:val="20"/>
              </w:rPr>
              <w:t xml:space="preserve">Total Line Items</w:t>
            </w:r>
          </w:p>
        </w:tc>
        <w:tc>
          <w:tcPr>
            <w:tcW w:type="dxa" w:w="4180"/>
            <w:tcMar>
              <w:top w:type="dxa" w:w="60"/>
              <w:left w:type="dxa" w:w="100"/>
              <w:bottom w:type="dxa" w:w="60"/>
              <w:right w:type="dxa" w:w="100"/>
            </w:tcMar>
            <w:vAlign w:val="center"/>
          </w:tcPr>
          <w:p>
            <w:pPr>
              <w:jc w:val="center"/>
            </w:pPr>
            <w:r>
              <w:rPr>
                <w:b w:val="false"/>
                <w:bCs w:val="false"/>
                <w:sz w:val="20"/>
                <w:szCs w:val="20"/>
              </w:rPr>
              <w:t xml:space="preserve">9,994</w:t>
            </w:r>
          </w:p>
        </w:tc>
      </w:tr>
      <w:tr>
        <w:tc>
          <w:tcPr>
            <w:tcW w:type="dxa" w:w="4500"/>
            <w:shd w:fill="F2F2F2" w:val="clear"/>
            <w:tcMar>
              <w:top w:type="dxa" w:w="60"/>
              <w:left w:type="dxa" w:w="100"/>
              <w:bottom w:type="dxa" w:w="60"/>
              <w:right w:type="dxa" w:w="100"/>
            </w:tcMar>
            <w:vAlign w:val="center"/>
          </w:tcPr>
          <w:p>
            <w:pPr>
              <w:jc w:val="left"/>
            </w:pPr>
            <w:r>
              <w:rPr>
                <w:b w:val="false"/>
                <w:bCs w:val="false"/>
                <w:sz w:val="20"/>
                <w:szCs w:val="20"/>
              </w:rPr>
              <w:t xml:space="preserve">Unique Customers</w:t>
            </w:r>
          </w:p>
        </w:tc>
        <w:tc>
          <w:tcPr>
            <w:tcW w:type="dxa" w:w="4180"/>
            <w:shd w:fill="F2F2F2" w:val="clear"/>
            <w:tcMar>
              <w:top w:type="dxa" w:w="60"/>
              <w:left w:type="dxa" w:w="100"/>
              <w:bottom w:type="dxa" w:w="60"/>
              <w:right w:type="dxa" w:w="100"/>
            </w:tcMar>
            <w:vAlign w:val="center"/>
          </w:tcPr>
          <w:p>
            <w:pPr>
              <w:jc w:val="center"/>
            </w:pPr>
            <w:r>
              <w:rPr>
                <w:b w:val="false"/>
                <w:bCs w:val="false"/>
                <w:sz w:val="20"/>
                <w:szCs w:val="20"/>
              </w:rPr>
              <w:t xml:space="preserve">799</w:t>
            </w:r>
          </w:p>
        </w:tc>
      </w:tr>
      <w:tr>
        <w:tc>
          <w:tcPr>
            <w:tcW w:type="dxa" w:w="4500"/>
            <w:tcMar>
              <w:top w:type="dxa" w:w="60"/>
              <w:left w:type="dxa" w:w="100"/>
              <w:bottom w:type="dxa" w:w="60"/>
              <w:right w:type="dxa" w:w="100"/>
            </w:tcMar>
            <w:vAlign w:val="center"/>
          </w:tcPr>
          <w:p>
            <w:pPr>
              <w:jc w:val="left"/>
            </w:pPr>
            <w:r>
              <w:rPr>
                <w:b w:val="false"/>
                <w:bCs w:val="false"/>
                <w:sz w:val="20"/>
                <w:szCs w:val="20"/>
              </w:rPr>
              <w:t xml:space="preserve">Average Order Value</w:t>
            </w:r>
          </w:p>
        </w:tc>
        <w:tc>
          <w:tcPr>
            <w:tcW w:type="dxa" w:w="4180"/>
            <w:tcMar>
              <w:top w:type="dxa" w:w="60"/>
              <w:left w:type="dxa" w:w="100"/>
              <w:bottom w:type="dxa" w:w="60"/>
              <w:right w:type="dxa" w:w="100"/>
            </w:tcMar>
            <w:vAlign w:val="center"/>
          </w:tcPr>
          <w:p>
            <w:pPr>
              <w:jc w:val="center"/>
            </w:pPr>
            <w:r>
              <w:rPr>
                <w:b w:val="false"/>
                <w:bCs w:val="false"/>
                <w:sz w:val="20"/>
                <w:szCs w:val="20"/>
              </w:rPr>
              <w:t xml:space="preserve">$344</w:t>
            </w:r>
          </w:p>
        </w:tc>
      </w:tr>
      <w:tr>
        <w:tc>
          <w:tcPr>
            <w:tcW w:type="dxa" w:w="4500"/>
            <w:shd w:fill="F2F2F2" w:val="clear"/>
            <w:tcMar>
              <w:top w:type="dxa" w:w="60"/>
              <w:left w:type="dxa" w:w="100"/>
              <w:bottom w:type="dxa" w:w="60"/>
              <w:right w:type="dxa" w:w="100"/>
            </w:tcMar>
            <w:vAlign w:val="center"/>
          </w:tcPr>
          <w:p>
            <w:pPr>
              <w:jc w:val="left"/>
            </w:pPr>
            <w:r>
              <w:rPr>
                <w:b w:val="false"/>
                <w:bCs w:val="false"/>
                <w:sz w:val="20"/>
                <w:szCs w:val="20"/>
              </w:rPr>
              <w:t xml:space="preserve">Average Discount Applied</w:t>
            </w:r>
          </w:p>
        </w:tc>
        <w:tc>
          <w:tcPr>
            <w:tcW w:type="dxa" w:w="4180"/>
            <w:shd w:fill="F2F2F2" w:val="clear"/>
            <w:tcMar>
              <w:top w:type="dxa" w:w="60"/>
              <w:left w:type="dxa" w:w="100"/>
              <w:bottom w:type="dxa" w:w="60"/>
              <w:right w:type="dxa" w:w="100"/>
            </w:tcMar>
            <w:vAlign w:val="center"/>
          </w:tcPr>
          <w:p>
            <w:pPr>
              <w:jc w:val="center"/>
            </w:pPr>
            <w:r>
              <w:rPr>
                <w:b w:val="false"/>
                <w:bCs w:val="false"/>
                <w:sz w:val="20"/>
                <w:szCs w:val="20"/>
              </w:rPr>
              <w:t xml:space="preserve">14.0%</w:t>
            </w:r>
          </w:p>
        </w:tc>
      </w:tr>
      <w:tr>
        <w:tc>
          <w:tcPr>
            <w:tcW w:type="dxa" w:w="4500"/>
            <w:tcMar>
              <w:top w:type="dxa" w:w="60"/>
              <w:left w:type="dxa" w:w="100"/>
              <w:bottom w:type="dxa" w:w="60"/>
              <w:right w:type="dxa" w:w="100"/>
            </w:tcMar>
            <w:vAlign w:val="center"/>
          </w:tcPr>
          <w:p>
            <w:pPr>
              <w:jc w:val="left"/>
            </w:pPr>
            <w:r>
              <w:rPr>
                <w:b w:val="false"/>
                <w:bCs w:val="false"/>
                <w:sz w:val="20"/>
                <w:szCs w:val="20"/>
              </w:rPr>
              <w:t xml:space="preserve">Line Items Sold at a Loss</w:t>
            </w:r>
          </w:p>
        </w:tc>
        <w:tc>
          <w:tcPr>
            <w:tcW w:type="dxa" w:w="4180"/>
            <w:tcMar>
              <w:top w:type="dxa" w:w="60"/>
              <w:left w:type="dxa" w:w="100"/>
              <w:bottom w:type="dxa" w:w="60"/>
              <w:right w:type="dxa" w:w="100"/>
            </w:tcMar>
            <w:vAlign w:val="center"/>
          </w:tcPr>
          <w:p>
            <w:pPr>
              <w:jc w:val="center"/>
            </w:pPr>
            <w:r>
              <w:rPr>
                <w:b w:val="false"/>
                <w:bCs w:val="false"/>
                <w:sz w:val="20"/>
                <w:szCs w:val="20"/>
              </w:rPr>
              <w:t xml:space="preserve">10.2%</w:t>
            </w:r>
          </w:p>
        </w:tc>
      </w:tr>
    </w:tbl>
    <w:p>
      <w:pPr>
        <w:spacing w:after="260" w:before="60"/>
        <w:jc w:val="center"/>
      </w:pPr>
      <w:r>
        <w:rPr>
          <w:i/>
          <w:iCs/>
          <w:color w:val="595959"/>
          <w:sz w:val="19"/>
          <w:szCs w:val="19"/>
        </w:rPr>
        <w:t xml:space="preserve">Table 3. Headline KPIs for the full analysis period.</w:t>
      </w:r>
    </w:p>
    <w:p>
      <w:pPr>
        <w:pStyle w:val="Heading2"/>
        <w:spacing w:after="120" w:before="280"/>
      </w:pPr>
      <w:r>
        <w:t xml:space="preserve">5.2 Category &amp; Sub-Category Performance</w:t>
      </w:r>
    </w:p>
    <w:p>
      <w:pPr>
        <w:spacing w:after="160" w:line="276"/>
      </w:pPr>
      <w:r>
        <w:t xml:space="preserve">Technology is the strongest category on both sales and profit contribution, Office Supplies is the smallest by revenue but the most efficient (highest margin), and Furniture is the weakest performer relative to its sales volume.</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2100"/>
        <w:gridCol w:w="2180"/>
      </w:tblGrid>
      <w:tr>
        <w:trPr>
          <w:tblHeader/>
        </w:trPr>
        <w:tc>
          <w:tcPr>
            <w:tcW w:type="dxa" w:w="3300"/>
            <w:shd w:fill="1F3864" w:val="clear"/>
            <w:tcMar>
              <w:top w:type="dxa" w:w="60"/>
              <w:left w:type="dxa" w:w="100"/>
              <w:bottom w:type="dxa" w:w="60"/>
              <w:right w:type="dxa" w:w="100"/>
            </w:tcMar>
            <w:vAlign w:val="center"/>
          </w:tcPr>
          <w:p>
            <w:pPr>
              <w:jc w:val="left"/>
            </w:pPr>
            <w:r>
              <w:rPr>
                <w:b/>
                <w:bCs/>
                <w:color w:val="FFFFFF"/>
                <w:sz w:val="20"/>
                <w:szCs w:val="20"/>
              </w:rPr>
              <w:t xml:space="preserve">Category</w:t>
            </w:r>
          </w:p>
        </w:tc>
        <w:tc>
          <w:tcPr>
            <w:tcW w:type="dxa" w:w="2100"/>
            <w:shd w:fill="1F3864" w:val="clear"/>
            <w:tcMar>
              <w:top w:type="dxa" w:w="60"/>
              <w:left w:type="dxa" w:w="100"/>
              <w:bottom w:type="dxa" w:w="60"/>
              <w:right w:type="dxa" w:w="100"/>
            </w:tcMar>
            <w:vAlign w:val="center"/>
          </w:tcPr>
          <w:p>
            <w:pPr>
              <w:jc w:val="center"/>
            </w:pPr>
            <w:r>
              <w:rPr>
                <w:b/>
                <w:bCs/>
                <w:color w:val="FFFFFF"/>
                <w:sz w:val="20"/>
                <w:szCs w:val="20"/>
              </w:rPr>
              <w:t xml:space="preserve">Sales</w:t>
            </w:r>
          </w:p>
        </w:tc>
        <w:tc>
          <w:tcPr>
            <w:tcW w:type="dxa" w:w="2100"/>
            <w:shd w:fill="1F3864" w:val="clear"/>
            <w:tcMar>
              <w:top w:type="dxa" w:w="60"/>
              <w:left w:type="dxa" w:w="100"/>
              <w:bottom w:type="dxa" w:w="60"/>
              <w:right w:type="dxa" w:w="100"/>
            </w:tcMar>
            <w:vAlign w:val="center"/>
          </w:tcPr>
          <w:p>
            <w:pPr>
              <w:jc w:val="center"/>
            </w:pPr>
            <w:r>
              <w:rPr>
                <w:b/>
                <w:bCs/>
                <w:color w:val="FFFFFF"/>
                <w:sz w:val="20"/>
                <w:szCs w:val="20"/>
              </w:rPr>
              <w:t xml:space="preserve">Profit</w:t>
            </w:r>
          </w:p>
        </w:tc>
        <w:tc>
          <w:tcPr>
            <w:tcW w:type="dxa" w:w="2180"/>
            <w:shd w:fill="1F3864" w:val="clear"/>
            <w:tcMar>
              <w:top w:type="dxa" w:w="60"/>
              <w:left w:type="dxa" w:w="100"/>
              <w:bottom w:type="dxa" w:w="60"/>
              <w:right w:type="dxa" w:w="100"/>
            </w:tcMar>
            <w:vAlign w:val="center"/>
          </w:tcPr>
          <w:p>
            <w:pPr>
              <w:jc w:val="center"/>
            </w:pPr>
            <w:r>
              <w:rPr>
                <w:b/>
                <w:bCs/>
                <w:color w:val="FFFFFF"/>
                <w:sz w:val="20"/>
                <w:szCs w:val="20"/>
              </w:rPr>
              <w:t xml:space="preserve">Margin</w:t>
            </w:r>
          </w:p>
        </w:tc>
      </w:tr>
      <w:tr>
        <w:tc>
          <w:tcPr>
            <w:tcW w:type="dxa" w:w="3300"/>
            <w:tcMar>
              <w:top w:type="dxa" w:w="60"/>
              <w:left w:type="dxa" w:w="100"/>
              <w:bottom w:type="dxa" w:w="60"/>
              <w:right w:type="dxa" w:w="100"/>
            </w:tcMar>
            <w:vAlign w:val="center"/>
          </w:tcPr>
          <w:p>
            <w:pPr>
              <w:jc w:val="left"/>
            </w:pPr>
            <w:r>
              <w:rPr>
                <w:b w:val="false"/>
                <w:bCs w:val="false"/>
                <w:sz w:val="20"/>
                <w:szCs w:val="20"/>
              </w:rPr>
              <w:t xml:space="preserve">Technology</w:t>
            </w:r>
          </w:p>
        </w:tc>
        <w:tc>
          <w:tcPr>
            <w:tcW w:type="dxa" w:w="2100"/>
            <w:tcMar>
              <w:top w:type="dxa" w:w="60"/>
              <w:left w:type="dxa" w:w="100"/>
              <w:bottom w:type="dxa" w:w="60"/>
              <w:right w:type="dxa" w:w="100"/>
            </w:tcMar>
            <w:vAlign w:val="center"/>
          </w:tcPr>
          <w:p>
            <w:pPr>
              <w:jc w:val="center"/>
            </w:pPr>
            <w:r>
              <w:rPr>
                <w:b w:val="false"/>
                <w:bCs w:val="false"/>
                <w:sz w:val="20"/>
                <w:szCs w:val="20"/>
              </w:rPr>
              <w:t xml:space="preserve">$1,199,810</w:t>
            </w:r>
          </w:p>
        </w:tc>
        <w:tc>
          <w:tcPr>
            <w:tcW w:type="dxa" w:w="2100"/>
            <w:tcMar>
              <w:top w:type="dxa" w:w="60"/>
              <w:left w:type="dxa" w:w="100"/>
              <w:bottom w:type="dxa" w:w="60"/>
              <w:right w:type="dxa" w:w="100"/>
            </w:tcMar>
            <w:vAlign w:val="center"/>
          </w:tcPr>
          <w:p>
            <w:pPr>
              <w:jc w:val="center"/>
            </w:pPr>
            <w:r>
              <w:rPr>
                <w:b w:val="false"/>
                <w:bCs w:val="false"/>
                <w:sz w:val="20"/>
                <w:szCs w:val="20"/>
              </w:rPr>
              <w:t xml:space="preserve">$158,334</w:t>
            </w:r>
          </w:p>
        </w:tc>
        <w:tc>
          <w:tcPr>
            <w:tcW w:type="dxa" w:w="2180"/>
            <w:tcMar>
              <w:top w:type="dxa" w:w="60"/>
              <w:left w:type="dxa" w:w="100"/>
              <w:bottom w:type="dxa" w:w="60"/>
              <w:right w:type="dxa" w:w="100"/>
            </w:tcMar>
            <w:vAlign w:val="center"/>
          </w:tcPr>
          <w:p>
            <w:pPr>
              <w:jc w:val="center"/>
            </w:pPr>
            <w:r>
              <w:rPr>
                <w:b w:val="false"/>
                <w:bCs w:val="false"/>
                <w:sz w:val="20"/>
                <w:szCs w:val="20"/>
              </w:rPr>
              <w:t xml:space="preserve">13.0%</w:t>
            </w:r>
          </w:p>
        </w:tc>
      </w:tr>
      <w:tr>
        <w:tc>
          <w:tcPr>
            <w:tcW w:type="dxa" w:w="3300"/>
            <w:shd w:fill="F2F2F2" w:val="clear"/>
            <w:tcMar>
              <w:top w:type="dxa" w:w="60"/>
              <w:left w:type="dxa" w:w="100"/>
              <w:bottom w:type="dxa" w:w="60"/>
              <w:right w:type="dxa" w:w="100"/>
            </w:tcMar>
            <w:vAlign w:val="center"/>
          </w:tcPr>
          <w:p>
            <w:pPr>
              <w:jc w:val="left"/>
            </w:pPr>
            <w:r>
              <w:rPr>
                <w:b w:val="false"/>
                <w:bCs w:val="false"/>
                <w:sz w:val="20"/>
                <w:szCs w:val="20"/>
              </w:rPr>
              <w:t xml:space="preserve">Furniture</w:t>
            </w:r>
          </w:p>
        </w:tc>
        <w:tc>
          <w:tcPr>
            <w:tcW w:type="dxa" w:w="2100"/>
            <w:shd w:fill="F2F2F2" w:val="clear"/>
            <w:tcMar>
              <w:top w:type="dxa" w:w="60"/>
              <w:left w:type="dxa" w:w="100"/>
              <w:bottom w:type="dxa" w:w="60"/>
              <w:right w:type="dxa" w:w="100"/>
            </w:tcMar>
            <w:vAlign w:val="center"/>
          </w:tcPr>
          <w:p>
            <w:pPr>
              <w:jc w:val="center"/>
            </w:pPr>
            <w:r>
              <w:rPr>
                <w:b w:val="false"/>
                <w:bCs w:val="false"/>
                <w:sz w:val="20"/>
                <w:szCs w:val="20"/>
              </w:rPr>
              <w:t xml:space="preserve">$1,082,079</w:t>
            </w:r>
          </w:p>
        </w:tc>
        <w:tc>
          <w:tcPr>
            <w:tcW w:type="dxa" w:w="2100"/>
            <w:shd w:fill="F2F2F2" w:val="clear"/>
            <w:tcMar>
              <w:top w:type="dxa" w:w="60"/>
              <w:left w:type="dxa" w:w="100"/>
              <w:bottom w:type="dxa" w:w="60"/>
              <w:right w:type="dxa" w:w="100"/>
            </w:tcMar>
            <w:vAlign w:val="center"/>
          </w:tcPr>
          <w:p>
            <w:pPr>
              <w:jc w:val="center"/>
            </w:pPr>
            <w:r>
              <w:rPr>
                <w:b w:val="false"/>
                <w:bCs w:val="false"/>
                <w:sz w:val="20"/>
                <w:szCs w:val="20"/>
              </w:rPr>
              <w:t xml:space="preserve">$42,206</w:t>
            </w:r>
          </w:p>
        </w:tc>
        <w:tc>
          <w:tcPr>
            <w:tcW w:type="dxa" w:w="2180"/>
            <w:shd w:fill="F2F2F2" w:val="clear"/>
            <w:tcMar>
              <w:top w:type="dxa" w:w="60"/>
              <w:left w:type="dxa" w:w="100"/>
              <w:bottom w:type="dxa" w:w="60"/>
              <w:right w:type="dxa" w:w="100"/>
            </w:tcMar>
            <w:vAlign w:val="center"/>
          </w:tcPr>
          <w:p>
            <w:pPr>
              <w:jc w:val="center"/>
            </w:pPr>
            <w:r>
              <w:rPr>
                <w:b w:val="false"/>
                <w:bCs w:val="false"/>
                <w:sz w:val="20"/>
                <w:szCs w:val="20"/>
              </w:rPr>
              <w:t xml:space="preserve">4.0%</w:t>
            </w:r>
          </w:p>
        </w:tc>
      </w:tr>
      <w:tr>
        <w:tc>
          <w:tcPr>
            <w:tcW w:type="dxa" w:w="3300"/>
            <w:tcMar>
              <w:top w:type="dxa" w:w="60"/>
              <w:left w:type="dxa" w:w="100"/>
              <w:bottom w:type="dxa" w:w="60"/>
              <w:right w:type="dxa" w:w="100"/>
            </w:tcMar>
            <w:vAlign w:val="center"/>
          </w:tcPr>
          <w:p>
            <w:pPr>
              <w:jc w:val="left"/>
            </w:pPr>
            <w:r>
              <w:rPr>
                <w:b w:val="false"/>
                <w:bCs w:val="false"/>
                <w:sz w:val="20"/>
                <w:szCs w:val="20"/>
              </w:rPr>
              <w:t xml:space="preserve">Office Supplies</w:t>
            </w:r>
          </w:p>
        </w:tc>
        <w:tc>
          <w:tcPr>
            <w:tcW w:type="dxa" w:w="2100"/>
            <w:tcMar>
              <w:top w:type="dxa" w:w="60"/>
              <w:left w:type="dxa" w:w="100"/>
              <w:bottom w:type="dxa" w:w="60"/>
              <w:right w:type="dxa" w:w="100"/>
            </w:tcMar>
            <w:vAlign w:val="center"/>
          </w:tcPr>
          <w:p>
            <w:pPr>
              <w:jc w:val="center"/>
            </w:pPr>
            <w:r>
              <w:rPr>
                <w:b w:val="false"/>
                <w:bCs w:val="false"/>
                <w:sz w:val="20"/>
                <w:szCs w:val="20"/>
              </w:rPr>
              <w:t xml:space="preserve">$351,240</w:t>
            </w:r>
          </w:p>
        </w:tc>
        <w:tc>
          <w:tcPr>
            <w:tcW w:type="dxa" w:w="2100"/>
            <w:tcMar>
              <w:top w:type="dxa" w:w="60"/>
              <w:left w:type="dxa" w:w="100"/>
              <w:bottom w:type="dxa" w:w="60"/>
              <w:right w:type="dxa" w:w="100"/>
            </w:tcMar>
            <w:vAlign w:val="center"/>
          </w:tcPr>
          <w:p>
            <w:pPr>
              <w:jc w:val="center"/>
            </w:pPr>
            <w:r>
              <w:rPr>
                <w:b w:val="false"/>
                <w:bCs w:val="false"/>
                <w:sz w:val="20"/>
                <w:szCs w:val="20"/>
              </w:rPr>
              <w:t xml:space="preserve">$62,094</w:t>
            </w:r>
          </w:p>
        </w:tc>
        <w:tc>
          <w:tcPr>
            <w:tcW w:type="dxa" w:w="2180"/>
            <w:tcMar>
              <w:top w:type="dxa" w:w="60"/>
              <w:left w:type="dxa" w:w="100"/>
              <w:bottom w:type="dxa" w:w="60"/>
              <w:right w:type="dxa" w:w="100"/>
            </w:tcMar>
            <w:vAlign w:val="center"/>
          </w:tcPr>
          <w:p>
            <w:pPr>
              <w:jc w:val="center"/>
            </w:pPr>
            <w:r>
              <w:rPr>
                <w:b w:val="false"/>
                <w:bCs w:val="false"/>
                <w:sz w:val="20"/>
                <w:szCs w:val="20"/>
              </w:rPr>
              <w:t xml:space="preserve">18.0%</w:t>
            </w:r>
          </w:p>
        </w:tc>
      </w:tr>
    </w:tbl>
    <w:p>
      <w:pPr>
        <w:spacing w:after="260" w:before="60"/>
        <w:jc w:val="center"/>
      </w:pPr>
      <w:r>
        <w:rPr>
          <w:i/>
          <w:iCs/>
          <w:color w:val="595959"/>
          <w:sz w:val="19"/>
          <w:szCs w:val="19"/>
        </w:rPr>
        <w:t xml:space="preserve">Table 4. Sales, profit, and margin by product category.</w:t>
      </w:r>
    </w:p>
    <w:p>
      <w:pPr>
        <w:spacing w:after="40" w:before="160"/>
        <w:jc w:val="center"/>
      </w:pPr>
      <w:r>
        <w:drawing>
          <wp:inline distT="0" distB="0" distL="0" distR="0">
            <wp:extent cx="5760720" cy="3246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246120"/>
                    </a:xfrm>
                    <a:prstGeom prst="rect">
                      <a:avLst/>
                    </a:prstGeom>
                  </pic:spPr>
                </pic:pic>
              </a:graphicData>
            </a:graphic>
          </wp:inline>
        </w:drawing>
      </w:r>
    </w:p>
    <w:p>
      <w:pPr>
        <w:spacing w:after="260" w:before="60"/>
        <w:jc w:val="center"/>
      </w:pPr>
      <w:r>
        <w:rPr>
          <w:i/>
          <w:iCs/>
          <w:color w:val="595959"/>
          <w:sz w:val="19"/>
          <w:szCs w:val="19"/>
        </w:rPr>
        <w:t xml:space="preserve">Figure 1. Sales vs. profit by category — Furniture's profit bar is disproportionately small relative to its sales bar, flagging a margin problem worth investigating.</w:t>
      </w:r>
    </w:p>
    <w:p>
      <w:pPr>
        <w:spacing w:after="40" w:before="160"/>
        <w:jc w:val="center"/>
      </w:pPr>
      <w:r>
        <w:drawing>
          <wp:inline distT="0" distB="0" distL="0" distR="0">
            <wp:extent cx="5760720" cy="4983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4983480"/>
                    </a:xfrm>
                    <a:prstGeom prst="rect">
                      <a:avLst/>
                    </a:prstGeom>
                  </pic:spPr>
                </pic:pic>
              </a:graphicData>
            </a:graphic>
          </wp:inline>
        </w:drawing>
      </w:r>
    </w:p>
    <w:p>
      <w:pPr>
        <w:spacing w:after="260" w:before="60"/>
        <w:jc w:val="center"/>
      </w:pPr>
      <w:r>
        <w:rPr>
          <w:i/>
          <w:iCs/>
          <w:color w:val="595959"/>
          <w:sz w:val="19"/>
          <w:szCs w:val="19"/>
        </w:rPr>
        <w:t xml:space="preserve">Figure 2. Profit by sub-category, sorted. Machines and Tables are the only two sub-categories that lose money overall, despite Machines alone generating $459.8K in sales.</w:t>
      </w:r>
    </w:p>
    <w:p>
      <w:pPr>
        <w:spacing w:after="160" w:line="276"/>
      </w:pPr>
      <w:r>
        <w:t xml:space="preserve">Top 5 sub-categories by profit contribution:</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750"/>
        <w:gridCol w:w="1750"/>
        <w:gridCol w:w="108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20"/>
                <w:szCs w:val="20"/>
              </w:rPr>
              <w:t xml:space="preserve">Sub-Category</w:t>
            </w:r>
          </w:p>
        </w:tc>
        <w:tc>
          <w:tcPr>
            <w:tcW w:type="dxa" w:w="2200"/>
            <w:shd w:fill="1F3864" w:val="clear"/>
            <w:tcMar>
              <w:top w:type="dxa" w:w="60"/>
              <w:left w:type="dxa" w:w="100"/>
              <w:bottom w:type="dxa" w:w="60"/>
              <w:right w:type="dxa" w:w="100"/>
            </w:tcMar>
            <w:vAlign w:val="center"/>
          </w:tcPr>
          <w:p>
            <w:pPr>
              <w:jc w:val="center"/>
            </w:pPr>
            <w:r>
              <w:rPr>
                <w:b/>
                <w:bCs/>
                <w:color w:val="FFFFFF"/>
                <w:sz w:val="20"/>
                <w:szCs w:val="20"/>
              </w:rPr>
              <w:t xml:space="preserve">Category</w:t>
            </w:r>
          </w:p>
        </w:tc>
        <w:tc>
          <w:tcPr>
            <w:tcW w:type="dxa" w:w="1750"/>
            <w:shd w:fill="1F3864" w:val="clear"/>
            <w:tcMar>
              <w:top w:type="dxa" w:w="60"/>
              <w:left w:type="dxa" w:w="100"/>
              <w:bottom w:type="dxa" w:w="60"/>
              <w:right w:type="dxa" w:w="100"/>
            </w:tcMar>
            <w:vAlign w:val="center"/>
          </w:tcPr>
          <w:p>
            <w:pPr>
              <w:jc w:val="center"/>
            </w:pPr>
            <w:r>
              <w:rPr>
                <w:b/>
                <w:bCs/>
                <w:color w:val="FFFFFF"/>
                <w:sz w:val="20"/>
                <w:szCs w:val="20"/>
              </w:rPr>
              <w:t xml:space="preserve">Sales</w:t>
            </w:r>
          </w:p>
        </w:tc>
        <w:tc>
          <w:tcPr>
            <w:tcW w:type="dxa" w:w="1750"/>
            <w:shd w:fill="1F3864" w:val="clear"/>
            <w:tcMar>
              <w:top w:type="dxa" w:w="60"/>
              <w:left w:type="dxa" w:w="100"/>
              <w:bottom w:type="dxa" w:w="60"/>
              <w:right w:type="dxa" w:w="100"/>
            </w:tcMar>
            <w:vAlign w:val="center"/>
          </w:tcPr>
          <w:p>
            <w:pPr>
              <w:jc w:val="center"/>
            </w:pPr>
            <w:r>
              <w:rPr>
                <w:b/>
                <w:bCs/>
                <w:color w:val="FFFFFF"/>
                <w:sz w:val="20"/>
                <w:szCs w:val="20"/>
              </w:rPr>
              <w:t xml:space="preserve">Profit</w:t>
            </w:r>
          </w:p>
        </w:tc>
        <w:tc>
          <w:tcPr>
            <w:tcW w:type="dxa" w:w="1080"/>
            <w:shd w:fill="1F3864" w:val="clear"/>
            <w:tcMar>
              <w:top w:type="dxa" w:w="60"/>
              <w:left w:type="dxa" w:w="100"/>
              <w:bottom w:type="dxa" w:w="60"/>
              <w:right w:type="dxa" w:w="100"/>
            </w:tcMar>
            <w:vAlign w:val="center"/>
          </w:tcPr>
          <w:p>
            <w:pPr>
              <w:jc w:val="center"/>
            </w:pPr>
            <w:r>
              <w:rPr>
                <w:b/>
                <w:bCs/>
                <w:color w:val="FFFFFF"/>
                <w:sz w:val="20"/>
                <w:szCs w:val="20"/>
              </w:rPr>
              <w:t xml:space="preserve">Margin</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Copiers</w:t>
            </w:r>
          </w:p>
        </w:tc>
        <w:tc>
          <w:tcPr>
            <w:tcW w:type="dxa" w:w="2200"/>
            <w:tcMar>
              <w:top w:type="dxa" w:w="60"/>
              <w:left w:type="dxa" w:w="100"/>
              <w:bottom w:type="dxa" w:w="60"/>
              <w:right w:type="dxa" w:w="100"/>
            </w:tcMar>
            <w:vAlign w:val="center"/>
          </w:tcPr>
          <w:p>
            <w:pPr>
              <w:jc w:val="center"/>
            </w:pPr>
            <w:r>
              <w:rPr>
                <w:b w:val="false"/>
                <w:bCs w:val="false"/>
                <w:sz w:val="20"/>
                <w:szCs w:val="20"/>
              </w:rPr>
              <w:t xml:space="preserve">Technology</w:t>
            </w:r>
          </w:p>
        </w:tc>
        <w:tc>
          <w:tcPr>
            <w:tcW w:type="dxa" w:w="1750"/>
            <w:tcMar>
              <w:top w:type="dxa" w:w="60"/>
              <w:left w:type="dxa" w:w="100"/>
              <w:bottom w:type="dxa" w:w="60"/>
              <w:right w:type="dxa" w:w="100"/>
            </w:tcMar>
            <w:vAlign w:val="center"/>
          </w:tcPr>
          <w:p>
            <w:pPr>
              <w:jc w:val="center"/>
            </w:pPr>
            <w:r>
              <w:rPr>
                <w:b w:val="false"/>
                <w:bCs w:val="false"/>
                <w:sz w:val="20"/>
                <w:szCs w:val="20"/>
              </w:rPr>
              <w:t xml:space="preserve">$313,379</w:t>
            </w:r>
          </w:p>
        </w:tc>
        <w:tc>
          <w:tcPr>
            <w:tcW w:type="dxa" w:w="1750"/>
            <w:tcMar>
              <w:top w:type="dxa" w:w="60"/>
              <w:left w:type="dxa" w:w="100"/>
              <w:bottom w:type="dxa" w:w="60"/>
              <w:right w:type="dxa" w:w="100"/>
            </w:tcMar>
            <w:vAlign w:val="center"/>
          </w:tcPr>
          <w:p>
            <w:pPr>
              <w:jc w:val="center"/>
            </w:pPr>
            <w:r>
              <w:rPr>
                <w:b w:val="false"/>
                <w:bCs w:val="false"/>
                <w:sz w:val="20"/>
                <w:szCs w:val="20"/>
              </w:rPr>
              <w:t xml:space="preserve">$108,381</w:t>
            </w:r>
          </w:p>
        </w:tc>
        <w:tc>
          <w:tcPr>
            <w:tcW w:type="dxa" w:w="1080"/>
            <w:tcMar>
              <w:top w:type="dxa" w:w="60"/>
              <w:left w:type="dxa" w:w="100"/>
              <w:bottom w:type="dxa" w:w="60"/>
              <w:right w:type="dxa" w:w="100"/>
            </w:tcMar>
            <w:vAlign w:val="center"/>
          </w:tcPr>
          <w:p>
            <w:pPr>
              <w:jc w:val="center"/>
            </w:pPr>
            <w:r>
              <w:rPr>
                <w:b w:val="false"/>
                <w:bCs w:val="false"/>
                <w:sz w:val="20"/>
                <w:szCs w:val="20"/>
              </w:rPr>
              <w:t xml:space="preserve">35.0%</w:t>
            </w:r>
          </w:p>
        </w:tc>
      </w:tr>
      <w:tr>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Phones</w:t>
            </w:r>
          </w:p>
        </w:tc>
        <w:tc>
          <w:tcPr>
            <w:tcW w:type="dxa" w:w="2200"/>
            <w:shd w:fill="F2F2F2" w:val="clear"/>
            <w:tcMar>
              <w:top w:type="dxa" w:w="60"/>
              <w:left w:type="dxa" w:w="100"/>
              <w:bottom w:type="dxa" w:w="60"/>
              <w:right w:type="dxa" w:w="100"/>
            </w:tcMar>
            <w:vAlign w:val="center"/>
          </w:tcPr>
          <w:p>
            <w:pPr>
              <w:jc w:val="center"/>
            </w:pPr>
            <w:r>
              <w:rPr>
                <w:b w:val="false"/>
                <w:bCs w:val="false"/>
                <w:sz w:val="20"/>
                <w:szCs w:val="20"/>
              </w:rPr>
              <w:t xml:space="preserve">Technology</w:t>
            </w:r>
          </w:p>
        </w:tc>
        <w:tc>
          <w:tcPr>
            <w:tcW w:type="dxa" w:w="1750"/>
            <w:shd w:fill="F2F2F2" w:val="clear"/>
            <w:tcMar>
              <w:top w:type="dxa" w:w="60"/>
              <w:left w:type="dxa" w:w="100"/>
              <w:bottom w:type="dxa" w:w="60"/>
              <w:right w:type="dxa" w:w="100"/>
            </w:tcMar>
            <w:vAlign w:val="center"/>
          </w:tcPr>
          <w:p>
            <w:pPr>
              <w:jc w:val="center"/>
            </w:pPr>
            <w:r>
              <w:rPr>
                <w:b w:val="false"/>
                <w:bCs w:val="false"/>
                <w:sz w:val="20"/>
                <w:szCs w:val="20"/>
              </w:rPr>
              <w:t xml:space="preserve">$269,706</w:t>
            </w:r>
          </w:p>
        </w:tc>
        <w:tc>
          <w:tcPr>
            <w:tcW w:type="dxa" w:w="1750"/>
            <w:shd w:fill="F2F2F2" w:val="clear"/>
            <w:tcMar>
              <w:top w:type="dxa" w:w="60"/>
              <w:left w:type="dxa" w:w="100"/>
              <w:bottom w:type="dxa" w:w="60"/>
              <w:right w:type="dxa" w:w="100"/>
            </w:tcMar>
            <w:vAlign w:val="center"/>
          </w:tcPr>
          <w:p>
            <w:pPr>
              <w:jc w:val="center"/>
            </w:pPr>
            <w:r>
              <w:rPr>
                <w:b w:val="false"/>
                <w:bCs w:val="false"/>
                <w:sz w:val="20"/>
                <w:szCs w:val="20"/>
              </w:rPr>
              <w:t xml:space="preserve">$43,722</w:t>
            </w:r>
          </w:p>
        </w:tc>
        <w:tc>
          <w:tcPr>
            <w:tcW w:type="dxa" w:w="1080"/>
            <w:shd w:fill="F2F2F2" w:val="clear"/>
            <w:tcMar>
              <w:top w:type="dxa" w:w="60"/>
              <w:left w:type="dxa" w:w="100"/>
              <w:bottom w:type="dxa" w:w="60"/>
              <w:right w:type="dxa" w:w="100"/>
            </w:tcMar>
            <w:vAlign w:val="center"/>
          </w:tcPr>
          <w:p>
            <w:pPr>
              <w:jc w:val="center"/>
            </w:pPr>
            <w:r>
              <w:rPr>
                <w:b w:val="false"/>
                <w:bCs w:val="false"/>
                <w:sz w:val="20"/>
                <w:szCs w:val="20"/>
              </w:rPr>
              <w:t xml:space="preserve">16.0%</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Chairs</w:t>
            </w:r>
          </w:p>
        </w:tc>
        <w:tc>
          <w:tcPr>
            <w:tcW w:type="dxa" w:w="2200"/>
            <w:tcMar>
              <w:top w:type="dxa" w:w="60"/>
              <w:left w:type="dxa" w:w="100"/>
              <w:bottom w:type="dxa" w:w="60"/>
              <w:right w:type="dxa" w:w="100"/>
            </w:tcMar>
            <w:vAlign w:val="center"/>
          </w:tcPr>
          <w:p>
            <w:pPr>
              <w:jc w:val="center"/>
            </w:pPr>
            <w:r>
              <w:rPr>
                <w:b w:val="false"/>
                <w:bCs w:val="false"/>
                <w:sz w:val="20"/>
                <w:szCs w:val="20"/>
              </w:rPr>
              <w:t xml:space="preserve">Furniture</w:t>
            </w:r>
          </w:p>
        </w:tc>
        <w:tc>
          <w:tcPr>
            <w:tcW w:type="dxa" w:w="1750"/>
            <w:tcMar>
              <w:top w:type="dxa" w:w="60"/>
              <w:left w:type="dxa" w:w="100"/>
              <w:bottom w:type="dxa" w:w="60"/>
              <w:right w:type="dxa" w:w="100"/>
            </w:tcMar>
            <w:vAlign w:val="center"/>
          </w:tcPr>
          <w:p>
            <w:pPr>
              <w:jc w:val="center"/>
            </w:pPr>
            <w:r>
              <w:rPr>
                <w:b w:val="false"/>
                <w:bCs w:val="false"/>
                <w:sz w:val="20"/>
                <w:szCs w:val="20"/>
              </w:rPr>
              <w:t xml:space="preserve">$354,393</w:t>
            </w:r>
          </w:p>
        </w:tc>
        <w:tc>
          <w:tcPr>
            <w:tcW w:type="dxa" w:w="1750"/>
            <w:tcMar>
              <w:top w:type="dxa" w:w="60"/>
              <w:left w:type="dxa" w:w="100"/>
              <w:bottom w:type="dxa" w:w="60"/>
              <w:right w:type="dxa" w:w="100"/>
            </w:tcMar>
            <w:vAlign w:val="center"/>
          </w:tcPr>
          <w:p>
            <w:pPr>
              <w:jc w:val="center"/>
            </w:pPr>
            <w:r>
              <w:rPr>
                <w:b w:val="false"/>
                <w:bCs w:val="false"/>
                <w:sz w:val="20"/>
                <w:szCs w:val="20"/>
              </w:rPr>
              <w:t xml:space="preserve">$35,868</w:t>
            </w:r>
          </w:p>
        </w:tc>
        <w:tc>
          <w:tcPr>
            <w:tcW w:type="dxa" w:w="1080"/>
            <w:tcMar>
              <w:top w:type="dxa" w:w="60"/>
              <w:left w:type="dxa" w:w="100"/>
              <w:bottom w:type="dxa" w:w="60"/>
              <w:right w:type="dxa" w:w="100"/>
            </w:tcMar>
            <w:vAlign w:val="center"/>
          </w:tcPr>
          <w:p>
            <w:pPr>
              <w:jc w:val="center"/>
            </w:pPr>
            <w:r>
              <w:rPr>
                <w:b w:val="false"/>
                <w:bCs w:val="false"/>
                <w:sz w:val="20"/>
                <w:szCs w:val="20"/>
              </w:rPr>
              <w:t xml:space="preserve">10.0%</w:t>
            </w:r>
          </w:p>
        </w:tc>
      </w:tr>
      <w:tr>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Accessories</w:t>
            </w:r>
          </w:p>
        </w:tc>
        <w:tc>
          <w:tcPr>
            <w:tcW w:type="dxa" w:w="2200"/>
            <w:shd w:fill="F2F2F2" w:val="clear"/>
            <w:tcMar>
              <w:top w:type="dxa" w:w="60"/>
              <w:left w:type="dxa" w:w="100"/>
              <w:bottom w:type="dxa" w:w="60"/>
              <w:right w:type="dxa" w:w="100"/>
            </w:tcMar>
            <w:vAlign w:val="center"/>
          </w:tcPr>
          <w:p>
            <w:pPr>
              <w:jc w:val="center"/>
            </w:pPr>
            <w:r>
              <w:rPr>
                <w:b w:val="false"/>
                <w:bCs w:val="false"/>
                <w:sz w:val="20"/>
                <w:szCs w:val="20"/>
              </w:rPr>
              <w:t xml:space="preserve">Technology</w:t>
            </w:r>
          </w:p>
        </w:tc>
        <w:tc>
          <w:tcPr>
            <w:tcW w:type="dxa" w:w="1750"/>
            <w:shd w:fill="F2F2F2" w:val="clear"/>
            <w:tcMar>
              <w:top w:type="dxa" w:w="60"/>
              <w:left w:type="dxa" w:w="100"/>
              <w:bottom w:type="dxa" w:w="60"/>
              <w:right w:type="dxa" w:w="100"/>
            </w:tcMar>
            <w:vAlign w:val="center"/>
          </w:tcPr>
          <w:p>
            <w:pPr>
              <w:jc w:val="center"/>
            </w:pPr>
            <w:r>
              <w:rPr>
                <w:b w:val="false"/>
                <w:bCs w:val="false"/>
                <w:sz w:val="20"/>
                <w:szCs w:val="20"/>
              </w:rPr>
              <w:t xml:space="preserve">$113,823</w:t>
            </w:r>
          </w:p>
        </w:tc>
        <w:tc>
          <w:tcPr>
            <w:tcW w:type="dxa" w:w="1750"/>
            <w:shd w:fill="F2F2F2" w:val="clear"/>
            <w:tcMar>
              <w:top w:type="dxa" w:w="60"/>
              <w:left w:type="dxa" w:w="100"/>
              <w:bottom w:type="dxa" w:w="60"/>
              <w:right w:type="dxa" w:w="100"/>
            </w:tcMar>
            <w:vAlign w:val="center"/>
          </w:tcPr>
          <w:p>
            <w:pPr>
              <w:jc w:val="center"/>
            </w:pPr>
            <w:r>
              <w:rPr>
                <w:b w:val="false"/>
                <w:bCs w:val="false"/>
                <w:sz w:val="20"/>
                <w:szCs w:val="20"/>
              </w:rPr>
              <w:t xml:space="preserve">$26,598</w:t>
            </w:r>
          </w:p>
        </w:tc>
        <w:tc>
          <w:tcPr>
            <w:tcW w:type="dxa" w:w="1080"/>
            <w:shd w:fill="F2F2F2" w:val="clear"/>
            <w:tcMar>
              <w:top w:type="dxa" w:w="60"/>
              <w:left w:type="dxa" w:w="100"/>
              <w:bottom w:type="dxa" w:w="60"/>
              <w:right w:type="dxa" w:w="100"/>
            </w:tcMar>
            <w:vAlign w:val="center"/>
          </w:tcPr>
          <w:p>
            <w:pPr>
              <w:jc w:val="center"/>
            </w:pPr>
            <w:r>
              <w:rPr>
                <w:b w:val="false"/>
                <w:bCs w:val="false"/>
                <w:sz w:val="20"/>
                <w:szCs w:val="20"/>
              </w:rPr>
              <w:t xml:space="preserve">23.0%</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Storage</w:t>
            </w:r>
          </w:p>
        </w:tc>
        <w:tc>
          <w:tcPr>
            <w:tcW w:type="dxa" w:w="2200"/>
            <w:tcMar>
              <w:top w:type="dxa" w:w="60"/>
              <w:left w:type="dxa" w:w="100"/>
              <w:bottom w:type="dxa" w:w="60"/>
              <w:right w:type="dxa" w:w="100"/>
            </w:tcMar>
            <w:vAlign w:val="center"/>
          </w:tcPr>
          <w:p>
            <w:pPr>
              <w:jc w:val="center"/>
            </w:pPr>
            <w:r>
              <w:rPr>
                <w:b w:val="false"/>
                <w:bCs w:val="false"/>
                <w:sz w:val="20"/>
                <w:szCs w:val="20"/>
              </w:rPr>
              <w:t xml:space="preserve">Office Supplies</w:t>
            </w:r>
          </w:p>
        </w:tc>
        <w:tc>
          <w:tcPr>
            <w:tcW w:type="dxa" w:w="1750"/>
            <w:tcMar>
              <w:top w:type="dxa" w:w="60"/>
              <w:left w:type="dxa" w:w="100"/>
              <w:bottom w:type="dxa" w:w="60"/>
              <w:right w:type="dxa" w:w="100"/>
            </w:tcMar>
            <w:vAlign w:val="center"/>
          </w:tcPr>
          <w:p>
            <w:pPr>
              <w:jc w:val="center"/>
            </w:pPr>
            <w:r>
              <w:rPr>
                <w:b w:val="false"/>
                <w:bCs w:val="false"/>
                <w:sz w:val="20"/>
                <w:szCs w:val="20"/>
              </w:rPr>
              <w:t xml:space="preserve">$98,400</w:t>
            </w:r>
          </w:p>
        </w:tc>
        <w:tc>
          <w:tcPr>
            <w:tcW w:type="dxa" w:w="1750"/>
            <w:tcMar>
              <w:top w:type="dxa" w:w="60"/>
              <w:left w:type="dxa" w:w="100"/>
              <w:bottom w:type="dxa" w:w="60"/>
              <w:right w:type="dxa" w:w="100"/>
            </w:tcMar>
            <w:vAlign w:val="center"/>
          </w:tcPr>
          <w:p>
            <w:pPr>
              <w:jc w:val="center"/>
            </w:pPr>
            <w:r>
              <w:rPr>
                <w:b w:val="false"/>
                <w:bCs w:val="false"/>
                <w:sz w:val="20"/>
                <w:szCs w:val="20"/>
              </w:rPr>
              <w:t xml:space="preserve">$21,439</w:t>
            </w:r>
          </w:p>
        </w:tc>
        <w:tc>
          <w:tcPr>
            <w:tcW w:type="dxa" w:w="1080"/>
            <w:tcMar>
              <w:top w:type="dxa" w:w="60"/>
              <w:left w:type="dxa" w:w="100"/>
              <w:bottom w:type="dxa" w:w="60"/>
              <w:right w:type="dxa" w:w="100"/>
            </w:tcMar>
            <w:vAlign w:val="center"/>
          </w:tcPr>
          <w:p>
            <w:pPr>
              <w:jc w:val="center"/>
            </w:pPr>
            <w:r>
              <w:rPr>
                <w:b w:val="false"/>
                <w:bCs w:val="false"/>
                <w:sz w:val="20"/>
                <w:szCs w:val="20"/>
              </w:rPr>
              <w:t xml:space="preserve">22.0%</w:t>
            </w:r>
          </w:p>
        </w:tc>
      </w:tr>
    </w:tbl>
    <w:p>
      <w:pPr>
        <w:spacing w:after="260" w:before="60"/>
        <w:jc w:val="center"/>
      </w:pPr>
      <w:r>
        <w:rPr>
          <w:i/>
          <w:iCs/>
          <w:color w:val="595959"/>
          <w:sz w:val="19"/>
          <w:szCs w:val="19"/>
        </w:rPr>
        <w:t xml:space="preserve">Table 5. Highest profit-contributing sub-categories.</w:t>
      </w:r>
    </w:p>
    <w:p>
      <w:pPr>
        <w:spacing w:after="160" w:line="276"/>
      </w:pPr>
      <w:r>
        <w:t xml:space="preserve">The two sub-categories operating at a net loss:</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750"/>
        <w:gridCol w:w="1750"/>
        <w:gridCol w:w="108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20"/>
                <w:szCs w:val="20"/>
              </w:rPr>
              <w:t xml:space="preserve">Sub-Category</w:t>
            </w:r>
          </w:p>
        </w:tc>
        <w:tc>
          <w:tcPr>
            <w:tcW w:type="dxa" w:w="2200"/>
            <w:shd w:fill="1F3864" w:val="clear"/>
            <w:tcMar>
              <w:top w:type="dxa" w:w="60"/>
              <w:left w:type="dxa" w:w="100"/>
              <w:bottom w:type="dxa" w:w="60"/>
              <w:right w:type="dxa" w:w="100"/>
            </w:tcMar>
            <w:vAlign w:val="center"/>
          </w:tcPr>
          <w:p>
            <w:pPr>
              <w:jc w:val="center"/>
            </w:pPr>
            <w:r>
              <w:rPr>
                <w:b/>
                <w:bCs/>
                <w:color w:val="FFFFFF"/>
                <w:sz w:val="20"/>
                <w:szCs w:val="20"/>
              </w:rPr>
              <w:t xml:space="preserve">Category</w:t>
            </w:r>
          </w:p>
        </w:tc>
        <w:tc>
          <w:tcPr>
            <w:tcW w:type="dxa" w:w="1750"/>
            <w:shd w:fill="1F3864" w:val="clear"/>
            <w:tcMar>
              <w:top w:type="dxa" w:w="60"/>
              <w:left w:type="dxa" w:w="100"/>
              <w:bottom w:type="dxa" w:w="60"/>
              <w:right w:type="dxa" w:w="100"/>
            </w:tcMar>
            <w:vAlign w:val="center"/>
          </w:tcPr>
          <w:p>
            <w:pPr>
              <w:jc w:val="center"/>
            </w:pPr>
            <w:r>
              <w:rPr>
                <w:b/>
                <w:bCs/>
                <w:color w:val="FFFFFF"/>
                <w:sz w:val="20"/>
                <w:szCs w:val="20"/>
              </w:rPr>
              <w:t xml:space="preserve">Sales</w:t>
            </w:r>
          </w:p>
        </w:tc>
        <w:tc>
          <w:tcPr>
            <w:tcW w:type="dxa" w:w="1750"/>
            <w:shd w:fill="1F3864" w:val="clear"/>
            <w:tcMar>
              <w:top w:type="dxa" w:w="60"/>
              <w:left w:type="dxa" w:w="100"/>
              <w:bottom w:type="dxa" w:w="60"/>
              <w:right w:type="dxa" w:w="100"/>
            </w:tcMar>
            <w:vAlign w:val="center"/>
          </w:tcPr>
          <w:p>
            <w:pPr>
              <w:jc w:val="center"/>
            </w:pPr>
            <w:r>
              <w:rPr>
                <w:b/>
                <w:bCs/>
                <w:color w:val="FFFFFF"/>
                <w:sz w:val="20"/>
                <w:szCs w:val="20"/>
              </w:rPr>
              <w:t xml:space="preserve">Profit</w:t>
            </w:r>
          </w:p>
        </w:tc>
        <w:tc>
          <w:tcPr>
            <w:tcW w:type="dxa" w:w="1080"/>
            <w:shd w:fill="1F3864" w:val="clear"/>
            <w:tcMar>
              <w:top w:type="dxa" w:w="60"/>
              <w:left w:type="dxa" w:w="100"/>
              <w:bottom w:type="dxa" w:w="60"/>
              <w:right w:type="dxa" w:w="100"/>
            </w:tcMar>
            <w:vAlign w:val="center"/>
          </w:tcPr>
          <w:p>
            <w:pPr>
              <w:jc w:val="center"/>
            </w:pPr>
            <w:r>
              <w:rPr>
                <w:b/>
                <w:bCs/>
                <w:color w:val="FFFFFF"/>
                <w:sz w:val="20"/>
                <w:szCs w:val="20"/>
              </w:rPr>
              <w:t xml:space="preserve">Margin</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Machines</w:t>
            </w:r>
          </w:p>
        </w:tc>
        <w:tc>
          <w:tcPr>
            <w:tcW w:type="dxa" w:w="2200"/>
            <w:tcMar>
              <w:top w:type="dxa" w:w="60"/>
              <w:left w:type="dxa" w:w="100"/>
              <w:bottom w:type="dxa" w:w="60"/>
              <w:right w:type="dxa" w:w="100"/>
            </w:tcMar>
            <w:vAlign w:val="center"/>
          </w:tcPr>
          <w:p>
            <w:pPr>
              <w:jc w:val="center"/>
            </w:pPr>
            <w:r>
              <w:rPr>
                <w:b w:val="false"/>
                <w:bCs w:val="false"/>
                <w:sz w:val="20"/>
                <w:szCs w:val="20"/>
              </w:rPr>
              <w:t xml:space="preserve">Technology</w:t>
            </w:r>
          </w:p>
        </w:tc>
        <w:tc>
          <w:tcPr>
            <w:tcW w:type="dxa" w:w="1750"/>
            <w:tcMar>
              <w:top w:type="dxa" w:w="60"/>
              <w:left w:type="dxa" w:w="100"/>
              <w:bottom w:type="dxa" w:w="60"/>
              <w:right w:type="dxa" w:w="100"/>
            </w:tcMar>
            <w:vAlign w:val="center"/>
          </w:tcPr>
          <w:p>
            <w:pPr>
              <w:jc w:val="center"/>
            </w:pPr>
            <w:r>
              <w:rPr>
                <w:b w:val="false"/>
                <w:bCs w:val="false"/>
                <w:sz w:val="20"/>
                <w:szCs w:val="20"/>
              </w:rPr>
              <w:t xml:space="preserve">$459,775</w:t>
            </w:r>
          </w:p>
        </w:tc>
        <w:tc>
          <w:tcPr>
            <w:tcW w:type="dxa" w:w="1750"/>
            <w:tcMar>
              <w:top w:type="dxa" w:w="60"/>
              <w:left w:type="dxa" w:w="100"/>
              <w:bottom w:type="dxa" w:w="60"/>
              <w:right w:type="dxa" w:w="100"/>
            </w:tcMar>
            <w:vAlign w:val="center"/>
          </w:tcPr>
          <w:p>
            <w:pPr>
              <w:jc w:val="center"/>
            </w:pPr>
            <w:r>
              <w:rPr>
                <w:b w:val="false"/>
                <w:bCs w:val="false"/>
                <w:sz w:val="20"/>
                <w:szCs w:val="20"/>
              </w:rPr>
              <w:t xml:space="preserve">$-28,221</w:t>
            </w:r>
          </w:p>
        </w:tc>
        <w:tc>
          <w:tcPr>
            <w:tcW w:type="dxa" w:w="1080"/>
            <w:tcMar>
              <w:top w:type="dxa" w:w="60"/>
              <w:left w:type="dxa" w:w="100"/>
              <w:bottom w:type="dxa" w:w="60"/>
              <w:right w:type="dxa" w:w="100"/>
            </w:tcMar>
            <w:vAlign w:val="center"/>
          </w:tcPr>
          <w:p>
            <w:pPr>
              <w:jc w:val="center"/>
            </w:pPr>
            <w:r>
              <w:rPr>
                <w:b w:val="false"/>
                <w:bCs w:val="false"/>
                <w:sz w:val="20"/>
                <w:szCs w:val="20"/>
              </w:rPr>
              <w:t xml:space="preserve">-6.0%</w:t>
            </w:r>
          </w:p>
        </w:tc>
      </w:tr>
      <w:tr>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Tables</w:t>
            </w:r>
          </w:p>
        </w:tc>
        <w:tc>
          <w:tcPr>
            <w:tcW w:type="dxa" w:w="2200"/>
            <w:shd w:fill="F2F2F2" w:val="clear"/>
            <w:tcMar>
              <w:top w:type="dxa" w:w="60"/>
              <w:left w:type="dxa" w:w="100"/>
              <w:bottom w:type="dxa" w:w="60"/>
              <w:right w:type="dxa" w:w="100"/>
            </w:tcMar>
            <w:vAlign w:val="center"/>
          </w:tcPr>
          <w:p>
            <w:pPr>
              <w:jc w:val="center"/>
            </w:pPr>
            <w:r>
              <w:rPr>
                <w:b w:val="false"/>
                <w:bCs w:val="false"/>
                <w:sz w:val="20"/>
                <w:szCs w:val="20"/>
              </w:rPr>
              <w:t xml:space="preserve">Furniture</w:t>
            </w:r>
          </w:p>
        </w:tc>
        <w:tc>
          <w:tcPr>
            <w:tcW w:type="dxa" w:w="1750"/>
            <w:shd w:fill="F2F2F2" w:val="clear"/>
            <w:tcMar>
              <w:top w:type="dxa" w:w="60"/>
              <w:left w:type="dxa" w:w="100"/>
              <w:bottom w:type="dxa" w:w="60"/>
              <w:right w:type="dxa" w:w="100"/>
            </w:tcMar>
            <w:vAlign w:val="center"/>
          </w:tcPr>
          <w:p>
            <w:pPr>
              <w:jc w:val="center"/>
            </w:pPr>
            <w:r>
              <w:rPr>
                <w:b w:val="false"/>
                <w:bCs w:val="false"/>
                <w:sz w:val="20"/>
                <w:szCs w:val="20"/>
              </w:rPr>
              <w:t xml:space="preserve">$304,820</w:t>
            </w:r>
          </w:p>
        </w:tc>
        <w:tc>
          <w:tcPr>
            <w:tcW w:type="dxa" w:w="1750"/>
            <w:shd w:fill="F2F2F2" w:val="clear"/>
            <w:tcMar>
              <w:top w:type="dxa" w:w="60"/>
              <w:left w:type="dxa" w:w="100"/>
              <w:bottom w:type="dxa" w:w="60"/>
              <w:right w:type="dxa" w:w="100"/>
            </w:tcMar>
            <w:vAlign w:val="center"/>
          </w:tcPr>
          <w:p>
            <w:pPr>
              <w:jc w:val="center"/>
            </w:pPr>
            <w:r>
              <w:rPr>
                <w:b w:val="false"/>
                <w:bCs w:val="false"/>
                <w:sz w:val="20"/>
                <w:szCs w:val="20"/>
              </w:rPr>
              <w:t xml:space="preserve">$-19,648</w:t>
            </w:r>
          </w:p>
        </w:tc>
        <w:tc>
          <w:tcPr>
            <w:tcW w:type="dxa" w:w="1080"/>
            <w:shd w:fill="F2F2F2" w:val="clear"/>
            <w:tcMar>
              <w:top w:type="dxa" w:w="60"/>
              <w:left w:type="dxa" w:w="100"/>
              <w:bottom w:type="dxa" w:w="60"/>
              <w:right w:type="dxa" w:w="100"/>
            </w:tcMar>
            <w:vAlign w:val="center"/>
          </w:tcPr>
          <w:p>
            <w:pPr>
              <w:jc w:val="center"/>
            </w:pPr>
            <w:r>
              <w:rPr>
                <w:b w:val="false"/>
                <w:bCs w:val="false"/>
                <w:sz w:val="20"/>
                <w:szCs w:val="20"/>
              </w:rPr>
              <w:t xml:space="preserve">-6.0%</w:t>
            </w:r>
          </w:p>
        </w:tc>
      </w:tr>
    </w:tbl>
    <w:p>
      <w:pPr>
        <w:spacing w:after="260" w:before="60"/>
        <w:jc w:val="center"/>
      </w:pPr>
      <w:r>
        <w:rPr>
          <w:i/>
          <w:iCs/>
          <w:color w:val="595959"/>
          <w:sz w:val="19"/>
          <w:szCs w:val="19"/>
        </w:rPr>
        <w:t xml:space="preserve">Table 6. Loss-making sub-categories — primary candidates for pricing/discount-policy review.</w:t>
      </w:r>
    </w:p>
    <w:p>
      <w:pPr>
        <w:pStyle w:val="Heading2"/>
        <w:spacing w:after="120" w:before="280"/>
      </w:pPr>
      <w:r>
        <w:t xml:space="preserve">5.3 Time Trends &amp; Seasonality</w:t>
      </w:r>
    </w:p>
    <w:p>
      <w:pPr>
        <w:spacing w:after="160" w:line="276"/>
      </w:pPr>
      <w:r>
        <w:t xml:space="preserve">Year-over-year sales grew every year of the observed period, from $522,171 in 2015 to $796,168 in 2018 — a compound annual growth rate of roughly 15.1%. Profit grew alongside sales but at a slightly slower pace, consistent with the discounting pressure identified in Section 5.5.</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900"/>
        <w:gridCol w:w="2890"/>
        <w:gridCol w:w="2890"/>
      </w:tblGrid>
      <w:tr>
        <w:trPr>
          <w:tblHeader/>
        </w:trPr>
        <w:tc>
          <w:tcPr>
            <w:tcW w:type="dxa" w:w="2900"/>
            <w:shd w:fill="1F3864" w:val="clear"/>
            <w:tcMar>
              <w:top w:type="dxa" w:w="60"/>
              <w:left w:type="dxa" w:w="100"/>
              <w:bottom w:type="dxa" w:w="60"/>
              <w:right w:type="dxa" w:w="100"/>
            </w:tcMar>
            <w:vAlign w:val="center"/>
          </w:tcPr>
          <w:p>
            <w:pPr>
              <w:jc w:val="left"/>
            </w:pPr>
            <w:r>
              <w:rPr>
                <w:b/>
                <w:bCs/>
                <w:color w:val="FFFFFF"/>
                <w:sz w:val="20"/>
                <w:szCs w:val="20"/>
              </w:rPr>
              <w:t xml:space="preserve">Year</w:t>
            </w:r>
          </w:p>
        </w:tc>
        <w:tc>
          <w:tcPr>
            <w:tcW w:type="dxa" w:w="2890"/>
            <w:shd w:fill="1F3864" w:val="clear"/>
            <w:tcMar>
              <w:top w:type="dxa" w:w="60"/>
              <w:left w:type="dxa" w:w="100"/>
              <w:bottom w:type="dxa" w:w="60"/>
              <w:right w:type="dxa" w:w="100"/>
            </w:tcMar>
            <w:vAlign w:val="center"/>
          </w:tcPr>
          <w:p>
            <w:pPr>
              <w:jc w:val="center"/>
            </w:pPr>
            <w:r>
              <w:rPr>
                <w:b/>
                <w:bCs/>
                <w:color w:val="FFFFFF"/>
                <w:sz w:val="20"/>
                <w:szCs w:val="20"/>
              </w:rPr>
              <w:t xml:space="preserve">Sales</w:t>
            </w:r>
          </w:p>
        </w:tc>
        <w:tc>
          <w:tcPr>
            <w:tcW w:type="dxa" w:w="2890"/>
            <w:shd w:fill="1F3864" w:val="clear"/>
            <w:tcMar>
              <w:top w:type="dxa" w:w="60"/>
              <w:left w:type="dxa" w:w="100"/>
              <w:bottom w:type="dxa" w:w="60"/>
              <w:right w:type="dxa" w:w="100"/>
            </w:tcMar>
            <w:vAlign w:val="center"/>
          </w:tcPr>
          <w:p>
            <w:pPr>
              <w:jc w:val="center"/>
            </w:pPr>
            <w:r>
              <w:rPr>
                <w:b/>
                <w:bCs/>
                <w:color w:val="FFFFFF"/>
                <w:sz w:val="20"/>
                <w:szCs w:val="20"/>
              </w:rPr>
              <w:t xml:space="preserve">Profit</w:t>
            </w:r>
          </w:p>
        </w:tc>
      </w:tr>
      <w:tr>
        <w:tc>
          <w:tcPr>
            <w:tcW w:type="dxa" w:w="2900"/>
            <w:tcMar>
              <w:top w:type="dxa" w:w="60"/>
              <w:left w:type="dxa" w:w="100"/>
              <w:bottom w:type="dxa" w:w="60"/>
              <w:right w:type="dxa" w:w="100"/>
            </w:tcMar>
            <w:vAlign w:val="center"/>
          </w:tcPr>
          <w:p>
            <w:pPr>
              <w:jc w:val="left"/>
            </w:pPr>
            <w:r>
              <w:rPr>
                <w:b w:val="false"/>
                <w:bCs w:val="false"/>
                <w:sz w:val="20"/>
                <w:szCs w:val="20"/>
              </w:rPr>
              <w:t xml:space="preserve">2015</w:t>
            </w:r>
          </w:p>
        </w:tc>
        <w:tc>
          <w:tcPr>
            <w:tcW w:type="dxa" w:w="2890"/>
            <w:tcMar>
              <w:top w:type="dxa" w:w="60"/>
              <w:left w:type="dxa" w:w="100"/>
              <w:bottom w:type="dxa" w:w="60"/>
              <w:right w:type="dxa" w:w="100"/>
            </w:tcMar>
            <w:vAlign w:val="center"/>
          </w:tcPr>
          <w:p>
            <w:pPr>
              <w:jc w:val="center"/>
            </w:pPr>
            <w:r>
              <w:rPr>
                <w:b w:val="false"/>
                <w:bCs w:val="false"/>
                <w:sz w:val="20"/>
                <w:szCs w:val="20"/>
              </w:rPr>
              <w:t xml:space="preserve">$522,171</w:t>
            </w:r>
          </w:p>
        </w:tc>
        <w:tc>
          <w:tcPr>
            <w:tcW w:type="dxa" w:w="2890"/>
            <w:tcMar>
              <w:top w:type="dxa" w:w="60"/>
              <w:left w:type="dxa" w:w="100"/>
              <w:bottom w:type="dxa" w:w="60"/>
              <w:right w:type="dxa" w:w="100"/>
            </w:tcMar>
            <w:vAlign w:val="center"/>
          </w:tcPr>
          <w:p>
            <w:pPr>
              <w:jc w:val="center"/>
            </w:pPr>
            <w:r>
              <w:rPr>
                <w:b w:val="false"/>
                <w:bCs w:val="false"/>
                <w:sz w:val="20"/>
                <w:szCs w:val="20"/>
              </w:rPr>
              <w:t xml:space="preserve">$49,428</w:t>
            </w:r>
          </w:p>
        </w:tc>
      </w:tr>
      <w:tr>
        <w:tc>
          <w:tcPr>
            <w:tcW w:type="dxa" w:w="2900"/>
            <w:shd w:fill="F2F2F2" w:val="clear"/>
            <w:tcMar>
              <w:top w:type="dxa" w:w="60"/>
              <w:left w:type="dxa" w:w="100"/>
              <w:bottom w:type="dxa" w:w="60"/>
              <w:right w:type="dxa" w:w="100"/>
            </w:tcMar>
            <w:vAlign w:val="center"/>
          </w:tcPr>
          <w:p>
            <w:pPr>
              <w:jc w:val="left"/>
            </w:pPr>
            <w:r>
              <w:rPr>
                <w:b w:val="false"/>
                <w:bCs w:val="false"/>
                <w:sz w:val="20"/>
                <w:szCs w:val="20"/>
              </w:rPr>
              <w:t xml:space="preserve">2016</w:t>
            </w:r>
          </w:p>
        </w:tc>
        <w:tc>
          <w:tcPr>
            <w:tcW w:type="dxa" w:w="2890"/>
            <w:shd w:fill="F2F2F2" w:val="clear"/>
            <w:tcMar>
              <w:top w:type="dxa" w:w="60"/>
              <w:left w:type="dxa" w:w="100"/>
              <w:bottom w:type="dxa" w:w="60"/>
              <w:right w:type="dxa" w:w="100"/>
            </w:tcMar>
            <w:vAlign w:val="center"/>
          </w:tcPr>
          <w:p>
            <w:pPr>
              <w:jc w:val="center"/>
            </w:pPr>
            <w:r>
              <w:rPr>
                <w:b w:val="false"/>
                <w:bCs w:val="false"/>
                <w:sz w:val="20"/>
                <w:szCs w:val="20"/>
              </w:rPr>
              <w:t xml:space="preserve">$577,110</w:t>
            </w:r>
          </w:p>
        </w:tc>
        <w:tc>
          <w:tcPr>
            <w:tcW w:type="dxa" w:w="2890"/>
            <w:shd w:fill="F2F2F2" w:val="clear"/>
            <w:tcMar>
              <w:top w:type="dxa" w:w="60"/>
              <w:left w:type="dxa" w:w="100"/>
              <w:bottom w:type="dxa" w:w="60"/>
              <w:right w:type="dxa" w:w="100"/>
            </w:tcMar>
            <w:vAlign w:val="center"/>
          </w:tcPr>
          <w:p>
            <w:pPr>
              <w:jc w:val="center"/>
            </w:pPr>
            <w:r>
              <w:rPr>
                <w:b w:val="false"/>
                <w:bCs w:val="false"/>
                <w:sz w:val="20"/>
                <w:szCs w:val="20"/>
              </w:rPr>
              <w:t xml:space="preserve">$60,186</w:t>
            </w:r>
          </w:p>
        </w:tc>
      </w:tr>
      <w:tr>
        <w:tc>
          <w:tcPr>
            <w:tcW w:type="dxa" w:w="2900"/>
            <w:tcMar>
              <w:top w:type="dxa" w:w="60"/>
              <w:left w:type="dxa" w:w="100"/>
              <w:bottom w:type="dxa" w:w="60"/>
              <w:right w:type="dxa" w:w="100"/>
            </w:tcMar>
            <w:vAlign w:val="center"/>
          </w:tcPr>
          <w:p>
            <w:pPr>
              <w:jc w:val="left"/>
            </w:pPr>
            <w:r>
              <w:rPr>
                <w:b w:val="false"/>
                <w:bCs w:val="false"/>
                <w:sz w:val="20"/>
                <w:szCs w:val="20"/>
              </w:rPr>
              <w:t xml:space="preserve">2017</w:t>
            </w:r>
          </w:p>
        </w:tc>
        <w:tc>
          <w:tcPr>
            <w:tcW w:type="dxa" w:w="2890"/>
            <w:tcMar>
              <w:top w:type="dxa" w:w="60"/>
              <w:left w:type="dxa" w:w="100"/>
              <w:bottom w:type="dxa" w:w="60"/>
              <w:right w:type="dxa" w:w="100"/>
            </w:tcMar>
            <w:vAlign w:val="center"/>
          </w:tcPr>
          <w:p>
            <w:pPr>
              <w:jc w:val="center"/>
            </w:pPr>
            <w:r>
              <w:rPr>
                <w:b w:val="false"/>
                <w:bCs w:val="false"/>
                <w:sz w:val="20"/>
                <w:szCs w:val="20"/>
              </w:rPr>
              <w:t xml:space="preserve">$737,680</w:t>
            </w:r>
          </w:p>
        </w:tc>
        <w:tc>
          <w:tcPr>
            <w:tcW w:type="dxa" w:w="2890"/>
            <w:tcMar>
              <w:top w:type="dxa" w:w="60"/>
              <w:left w:type="dxa" w:w="100"/>
              <w:bottom w:type="dxa" w:w="60"/>
              <w:right w:type="dxa" w:w="100"/>
            </w:tcMar>
            <w:vAlign w:val="center"/>
          </w:tcPr>
          <w:p>
            <w:pPr>
              <w:jc w:val="center"/>
            </w:pPr>
            <w:r>
              <w:rPr>
                <w:b w:val="false"/>
                <w:bCs w:val="false"/>
                <w:sz w:val="20"/>
                <w:szCs w:val="20"/>
              </w:rPr>
              <w:t xml:space="preserve">$75,314</w:t>
            </w:r>
          </w:p>
        </w:tc>
      </w:tr>
      <w:tr>
        <w:tc>
          <w:tcPr>
            <w:tcW w:type="dxa" w:w="2900"/>
            <w:shd w:fill="F2F2F2" w:val="clear"/>
            <w:tcMar>
              <w:top w:type="dxa" w:w="60"/>
              <w:left w:type="dxa" w:w="100"/>
              <w:bottom w:type="dxa" w:w="60"/>
              <w:right w:type="dxa" w:w="100"/>
            </w:tcMar>
            <w:vAlign w:val="center"/>
          </w:tcPr>
          <w:p>
            <w:pPr>
              <w:jc w:val="left"/>
            </w:pPr>
            <w:r>
              <w:rPr>
                <w:b w:val="false"/>
                <w:bCs w:val="false"/>
                <w:sz w:val="20"/>
                <w:szCs w:val="20"/>
              </w:rPr>
              <w:t xml:space="preserve">2018</w:t>
            </w:r>
          </w:p>
        </w:tc>
        <w:tc>
          <w:tcPr>
            <w:tcW w:type="dxa" w:w="2890"/>
            <w:shd w:fill="F2F2F2" w:val="clear"/>
            <w:tcMar>
              <w:top w:type="dxa" w:w="60"/>
              <w:left w:type="dxa" w:w="100"/>
              <w:bottom w:type="dxa" w:w="60"/>
              <w:right w:type="dxa" w:w="100"/>
            </w:tcMar>
            <w:vAlign w:val="center"/>
          </w:tcPr>
          <w:p>
            <w:pPr>
              <w:jc w:val="center"/>
            </w:pPr>
            <w:r>
              <w:rPr>
                <w:b w:val="false"/>
                <w:bCs w:val="false"/>
                <w:sz w:val="20"/>
                <w:szCs w:val="20"/>
              </w:rPr>
              <w:t xml:space="preserve">$796,168</w:t>
            </w:r>
          </w:p>
        </w:tc>
        <w:tc>
          <w:tcPr>
            <w:tcW w:type="dxa" w:w="2890"/>
            <w:shd w:fill="F2F2F2" w:val="clear"/>
            <w:tcMar>
              <w:top w:type="dxa" w:w="60"/>
              <w:left w:type="dxa" w:w="100"/>
              <w:bottom w:type="dxa" w:w="60"/>
              <w:right w:type="dxa" w:w="100"/>
            </w:tcMar>
            <w:vAlign w:val="center"/>
          </w:tcPr>
          <w:p>
            <w:pPr>
              <w:jc w:val="center"/>
            </w:pPr>
            <w:r>
              <w:rPr>
                <w:b w:val="false"/>
                <w:bCs w:val="false"/>
                <w:sz w:val="20"/>
                <w:szCs w:val="20"/>
              </w:rPr>
              <w:t xml:space="preserve">$77,705</w:t>
            </w:r>
          </w:p>
        </w:tc>
      </w:tr>
    </w:tbl>
    <w:p>
      <w:pPr>
        <w:spacing w:after="260" w:before="60"/>
        <w:jc w:val="center"/>
      </w:pPr>
      <w:r>
        <w:rPr>
          <w:i/>
          <w:iCs/>
          <w:color w:val="595959"/>
          <w:sz w:val="19"/>
          <w:szCs w:val="19"/>
        </w:rPr>
        <w:t xml:space="preserve">Table 7. Annual sales and profit.</w:t>
      </w:r>
    </w:p>
    <w:p>
      <w:pPr>
        <w:spacing w:after="40" w:before="160"/>
        <w:jc w:val="center"/>
      </w:pPr>
      <w:r>
        <w:drawing>
          <wp:inline distT="0" distB="0" distL="0" distR="0">
            <wp:extent cx="5760720" cy="2834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834640"/>
                    </a:xfrm>
                    <a:prstGeom prst="rect">
                      <a:avLst/>
                    </a:prstGeom>
                  </pic:spPr>
                </pic:pic>
              </a:graphicData>
            </a:graphic>
          </wp:inline>
        </w:drawing>
      </w:r>
    </w:p>
    <w:p>
      <w:pPr>
        <w:spacing w:after="260" w:before="60"/>
        <w:jc w:val="center"/>
      </w:pPr>
      <w:r>
        <w:rPr>
          <w:i/>
          <w:iCs/>
          <w:color w:val="595959"/>
          <w:sz w:val="19"/>
          <w:szCs w:val="19"/>
        </w:rPr>
        <w:t xml:space="preserve">Figure 3. Monthly sales and profit trend, 2015–2018, showing a clear repeating end-of-year peak.</w:t>
      </w:r>
    </w:p>
    <w:p>
      <w:pPr>
        <w:spacing w:after="40" w:before="1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743200"/>
                    </a:xfrm>
                    <a:prstGeom prst="rect">
                      <a:avLst/>
                    </a:prstGeom>
                  </pic:spPr>
                </pic:pic>
              </a:graphicData>
            </a:graphic>
          </wp:inline>
        </w:drawing>
      </w:r>
    </w:p>
    <w:p>
      <w:pPr>
        <w:spacing w:after="260" w:before="60"/>
        <w:jc w:val="center"/>
      </w:pPr>
      <w:r>
        <w:rPr>
          <w:i/>
          <w:iCs/>
          <w:color w:val="595959"/>
          <w:sz w:val="19"/>
          <w:szCs w:val="19"/>
        </w:rPr>
        <w:t xml:space="preserve">Figure 4. Total sales by calendar month (all years combined). Dec is the strongest month, accounting for roughly 14.8% of annual sales on its own — a clear seasonal peak that should drive inventory and staffing planning.</w:t>
      </w:r>
    </w:p>
    <w:p>
      <w:pPr>
        <w:pStyle w:val="Heading2"/>
        <w:spacing w:after="120" w:before="280"/>
      </w:pPr>
      <w:r>
        <w:t xml:space="preserve">5.4 Regional &amp; Geographic Analysis</w:t>
      </w:r>
    </w:p>
    <w:p>
      <w:pPr>
        <w:spacing w:after="160" w:line="276"/>
      </w:pPr>
      <w:r>
        <w:t xml:space="preserve">The West region leads on both sales and profit margin; the Central and South regions trail on margin despite respectable sales volume, suggesting regional differences in discounting behavior or product mix.</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2100"/>
        <w:gridCol w:w="2180"/>
      </w:tblGrid>
      <w:tr>
        <w:trPr>
          <w:tblHeader/>
        </w:trPr>
        <w:tc>
          <w:tcPr>
            <w:tcW w:type="dxa" w:w="3300"/>
            <w:shd w:fill="1F3864" w:val="clear"/>
            <w:tcMar>
              <w:top w:type="dxa" w:w="60"/>
              <w:left w:type="dxa" w:w="100"/>
              <w:bottom w:type="dxa" w:w="60"/>
              <w:right w:type="dxa" w:w="100"/>
            </w:tcMar>
            <w:vAlign w:val="center"/>
          </w:tcPr>
          <w:p>
            <w:pPr>
              <w:jc w:val="left"/>
            </w:pPr>
            <w:r>
              <w:rPr>
                <w:b/>
                <w:bCs/>
                <w:color w:val="FFFFFF"/>
                <w:sz w:val="20"/>
                <w:szCs w:val="20"/>
              </w:rPr>
              <w:t xml:space="preserve">Region</w:t>
            </w:r>
          </w:p>
        </w:tc>
        <w:tc>
          <w:tcPr>
            <w:tcW w:type="dxa" w:w="2100"/>
            <w:shd w:fill="1F3864" w:val="clear"/>
            <w:tcMar>
              <w:top w:type="dxa" w:w="60"/>
              <w:left w:type="dxa" w:w="100"/>
              <w:bottom w:type="dxa" w:w="60"/>
              <w:right w:type="dxa" w:w="100"/>
            </w:tcMar>
            <w:vAlign w:val="center"/>
          </w:tcPr>
          <w:p>
            <w:pPr>
              <w:jc w:val="center"/>
            </w:pPr>
            <w:r>
              <w:rPr>
                <w:b/>
                <w:bCs/>
                <w:color w:val="FFFFFF"/>
                <w:sz w:val="20"/>
                <w:szCs w:val="20"/>
              </w:rPr>
              <w:t xml:space="preserve">Sales</w:t>
            </w:r>
          </w:p>
        </w:tc>
        <w:tc>
          <w:tcPr>
            <w:tcW w:type="dxa" w:w="2100"/>
            <w:shd w:fill="1F3864" w:val="clear"/>
            <w:tcMar>
              <w:top w:type="dxa" w:w="60"/>
              <w:left w:type="dxa" w:w="100"/>
              <w:bottom w:type="dxa" w:w="60"/>
              <w:right w:type="dxa" w:w="100"/>
            </w:tcMar>
            <w:vAlign w:val="center"/>
          </w:tcPr>
          <w:p>
            <w:pPr>
              <w:jc w:val="center"/>
            </w:pPr>
            <w:r>
              <w:rPr>
                <w:b/>
                <w:bCs/>
                <w:color w:val="FFFFFF"/>
                <w:sz w:val="20"/>
                <w:szCs w:val="20"/>
              </w:rPr>
              <w:t xml:space="preserve">Profit</w:t>
            </w:r>
          </w:p>
        </w:tc>
        <w:tc>
          <w:tcPr>
            <w:tcW w:type="dxa" w:w="2180"/>
            <w:shd w:fill="1F3864" w:val="clear"/>
            <w:tcMar>
              <w:top w:type="dxa" w:w="60"/>
              <w:left w:type="dxa" w:w="100"/>
              <w:bottom w:type="dxa" w:w="60"/>
              <w:right w:type="dxa" w:w="100"/>
            </w:tcMar>
            <w:vAlign w:val="center"/>
          </w:tcPr>
          <w:p>
            <w:pPr>
              <w:jc w:val="center"/>
            </w:pPr>
            <w:r>
              <w:rPr>
                <w:b/>
                <w:bCs/>
                <w:color w:val="FFFFFF"/>
                <w:sz w:val="20"/>
                <w:szCs w:val="20"/>
              </w:rPr>
              <w:t xml:space="preserve">Margin</w:t>
            </w:r>
          </w:p>
        </w:tc>
      </w:tr>
      <w:tr>
        <w:tc>
          <w:tcPr>
            <w:tcW w:type="dxa" w:w="3300"/>
            <w:tcMar>
              <w:top w:type="dxa" w:w="60"/>
              <w:left w:type="dxa" w:w="100"/>
              <w:bottom w:type="dxa" w:w="60"/>
              <w:right w:type="dxa" w:w="100"/>
            </w:tcMar>
            <w:vAlign w:val="center"/>
          </w:tcPr>
          <w:p>
            <w:pPr>
              <w:jc w:val="left"/>
            </w:pPr>
            <w:r>
              <w:rPr>
                <w:b w:val="false"/>
                <w:bCs w:val="false"/>
                <w:sz w:val="20"/>
                <w:szCs w:val="20"/>
              </w:rPr>
              <w:t xml:space="preserve">West</w:t>
            </w:r>
          </w:p>
        </w:tc>
        <w:tc>
          <w:tcPr>
            <w:tcW w:type="dxa" w:w="2100"/>
            <w:tcMar>
              <w:top w:type="dxa" w:w="60"/>
              <w:left w:type="dxa" w:w="100"/>
              <w:bottom w:type="dxa" w:w="60"/>
              <w:right w:type="dxa" w:w="100"/>
            </w:tcMar>
            <w:vAlign w:val="center"/>
          </w:tcPr>
          <w:p>
            <w:pPr>
              <w:jc w:val="center"/>
            </w:pPr>
            <w:r>
              <w:rPr>
                <w:b w:val="false"/>
                <w:bCs w:val="false"/>
                <w:sz w:val="20"/>
                <w:szCs w:val="20"/>
              </w:rPr>
              <w:t xml:space="preserve">$828,468</w:t>
            </w:r>
          </w:p>
        </w:tc>
        <w:tc>
          <w:tcPr>
            <w:tcW w:type="dxa" w:w="2100"/>
            <w:tcMar>
              <w:top w:type="dxa" w:w="60"/>
              <w:left w:type="dxa" w:w="100"/>
              <w:bottom w:type="dxa" w:w="60"/>
              <w:right w:type="dxa" w:w="100"/>
            </w:tcMar>
            <w:vAlign w:val="center"/>
          </w:tcPr>
          <w:p>
            <w:pPr>
              <w:jc w:val="center"/>
            </w:pPr>
            <w:r>
              <w:rPr>
                <w:b w:val="false"/>
                <w:bCs w:val="false"/>
                <w:sz w:val="20"/>
                <w:szCs w:val="20"/>
              </w:rPr>
              <w:t xml:space="preserve">$100,949</w:t>
            </w:r>
          </w:p>
        </w:tc>
        <w:tc>
          <w:tcPr>
            <w:tcW w:type="dxa" w:w="2180"/>
            <w:tcMar>
              <w:top w:type="dxa" w:w="60"/>
              <w:left w:type="dxa" w:w="100"/>
              <w:bottom w:type="dxa" w:w="60"/>
              <w:right w:type="dxa" w:w="100"/>
            </w:tcMar>
            <w:vAlign w:val="center"/>
          </w:tcPr>
          <w:p>
            <w:pPr>
              <w:jc w:val="center"/>
            </w:pPr>
            <w:r>
              <w:rPr>
                <w:b w:val="false"/>
                <w:bCs w:val="false"/>
                <w:sz w:val="20"/>
                <w:szCs w:val="20"/>
              </w:rPr>
              <w:t xml:space="preserve">12.0%</w:t>
            </w:r>
          </w:p>
        </w:tc>
      </w:tr>
      <w:tr>
        <w:tc>
          <w:tcPr>
            <w:tcW w:type="dxa" w:w="3300"/>
            <w:shd w:fill="F2F2F2" w:val="clear"/>
            <w:tcMar>
              <w:top w:type="dxa" w:w="60"/>
              <w:left w:type="dxa" w:w="100"/>
              <w:bottom w:type="dxa" w:w="60"/>
              <w:right w:type="dxa" w:w="100"/>
            </w:tcMar>
            <w:vAlign w:val="center"/>
          </w:tcPr>
          <w:p>
            <w:pPr>
              <w:jc w:val="left"/>
            </w:pPr>
            <w:r>
              <w:rPr>
                <w:b w:val="false"/>
                <w:bCs w:val="false"/>
                <w:sz w:val="20"/>
                <w:szCs w:val="20"/>
              </w:rPr>
              <w:t xml:space="preserve">East</w:t>
            </w:r>
          </w:p>
        </w:tc>
        <w:tc>
          <w:tcPr>
            <w:tcW w:type="dxa" w:w="2100"/>
            <w:shd w:fill="F2F2F2" w:val="clear"/>
            <w:tcMar>
              <w:top w:type="dxa" w:w="60"/>
              <w:left w:type="dxa" w:w="100"/>
              <w:bottom w:type="dxa" w:w="60"/>
              <w:right w:type="dxa" w:w="100"/>
            </w:tcMar>
            <w:vAlign w:val="center"/>
          </w:tcPr>
          <w:p>
            <w:pPr>
              <w:jc w:val="center"/>
            </w:pPr>
            <w:r>
              <w:rPr>
                <w:b w:val="false"/>
                <w:bCs w:val="false"/>
                <w:sz w:val="20"/>
                <w:szCs w:val="20"/>
              </w:rPr>
              <w:t xml:space="preserve">$778,624</w:t>
            </w:r>
          </w:p>
        </w:tc>
        <w:tc>
          <w:tcPr>
            <w:tcW w:type="dxa" w:w="2100"/>
            <w:shd w:fill="F2F2F2" w:val="clear"/>
            <w:tcMar>
              <w:top w:type="dxa" w:w="60"/>
              <w:left w:type="dxa" w:w="100"/>
              <w:bottom w:type="dxa" w:w="60"/>
              <w:right w:type="dxa" w:w="100"/>
            </w:tcMar>
            <w:vAlign w:val="center"/>
          </w:tcPr>
          <w:p>
            <w:pPr>
              <w:jc w:val="center"/>
            </w:pPr>
            <w:r>
              <w:rPr>
                <w:b w:val="false"/>
                <w:bCs w:val="false"/>
                <w:sz w:val="20"/>
                <w:szCs w:val="20"/>
              </w:rPr>
              <w:t xml:space="preserve">$76,131</w:t>
            </w:r>
          </w:p>
        </w:tc>
        <w:tc>
          <w:tcPr>
            <w:tcW w:type="dxa" w:w="2180"/>
            <w:shd w:fill="F2F2F2" w:val="clear"/>
            <w:tcMar>
              <w:top w:type="dxa" w:w="60"/>
              <w:left w:type="dxa" w:w="100"/>
              <w:bottom w:type="dxa" w:w="60"/>
              <w:right w:type="dxa" w:w="100"/>
            </w:tcMar>
            <w:vAlign w:val="center"/>
          </w:tcPr>
          <w:p>
            <w:pPr>
              <w:jc w:val="center"/>
            </w:pPr>
            <w:r>
              <w:rPr>
                <w:b w:val="false"/>
                <w:bCs w:val="false"/>
                <w:sz w:val="20"/>
                <w:szCs w:val="20"/>
              </w:rPr>
              <w:t xml:space="preserve">10.0%</w:t>
            </w:r>
          </w:p>
        </w:tc>
      </w:tr>
      <w:tr>
        <w:tc>
          <w:tcPr>
            <w:tcW w:type="dxa" w:w="3300"/>
            <w:tcMar>
              <w:top w:type="dxa" w:w="60"/>
              <w:left w:type="dxa" w:w="100"/>
              <w:bottom w:type="dxa" w:w="60"/>
              <w:right w:type="dxa" w:w="100"/>
            </w:tcMar>
            <w:vAlign w:val="center"/>
          </w:tcPr>
          <w:p>
            <w:pPr>
              <w:jc w:val="left"/>
            </w:pPr>
            <w:r>
              <w:rPr>
                <w:b w:val="false"/>
                <w:bCs w:val="false"/>
                <w:sz w:val="20"/>
                <w:szCs w:val="20"/>
              </w:rPr>
              <w:t xml:space="preserve">Central</w:t>
            </w:r>
          </w:p>
        </w:tc>
        <w:tc>
          <w:tcPr>
            <w:tcW w:type="dxa" w:w="2100"/>
            <w:tcMar>
              <w:top w:type="dxa" w:w="60"/>
              <w:left w:type="dxa" w:w="100"/>
              <w:bottom w:type="dxa" w:w="60"/>
              <w:right w:type="dxa" w:w="100"/>
            </w:tcMar>
            <w:vAlign w:val="center"/>
          </w:tcPr>
          <w:p>
            <w:pPr>
              <w:jc w:val="center"/>
            </w:pPr>
            <w:r>
              <w:rPr>
                <w:b w:val="false"/>
                <w:bCs w:val="false"/>
                <w:sz w:val="20"/>
                <w:szCs w:val="20"/>
              </w:rPr>
              <w:t xml:space="preserve">$578,279</w:t>
            </w:r>
          </w:p>
        </w:tc>
        <w:tc>
          <w:tcPr>
            <w:tcW w:type="dxa" w:w="2100"/>
            <w:tcMar>
              <w:top w:type="dxa" w:w="60"/>
              <w:left w:type="dxa" w:w="100"/>
              <w:bottom w:type="dxa" w:w="60"/>
              <w:right w:type="dxa" w:w="100"/>
            </w:tcMar>
            <w:vAlign w:val="center"/>
          </w:tcPr>
          <w:p>
            <w:pPr>
              <w:jc w:val="center"/>
            </w:pPr>
            <w:r>
              <w:rPr>
                <w:b w:val="false"/>
                <w:bCs w:val="false"/>
                <w:sz w:val="20"/>
                <w:szCs w:val="20"/>
              </w:rPr>
              <w:t xml:space="preserve">$45,307</w:t>
            </w:r>
          </w:p>
        </w:tc>
        <w:tc>
          <w:tcPr>
            <w:tcW w:type="dxa" w:w="2180"/>
            <w:tcMar>
              <w:top w:type="dxa" w:w="60"/>
              <w:left w:type="dxa" w:w="100"/>
              <w:bottom w:type="dxa" w:w="60"/>
              <w:right w:type="dxa" w:w="100"/>
            </w:tcMar>
            <w:vAlign w:val="center"/>
          </w:tcPr>
          <w:p>
            <w:pPr>
              <w:jc w:val="center"/>
            </w:pPr>
            <w:r>
              <w:rPr>
                <w:b w:val="false"/>
                <w:bCs w:val="false"/>
                <w:sz w:val="20"/>
                <w:szCs w:val="20"/>
              </w:rPr>
              <w:t xml:space="preserve">8.0%</w:t>
            </w:r>
          </w:p>
        </w:tc>
      </w:tr>
      <w:tr>
        <w:tc>
          <w:tcPr>
            <w:tcW w:type="dxa" w:w="3300"/>
            <w:shd w:fill="F2F2F2" w:val="clear"/>
            <w:tcMar>
              <w:top w:type="dxa" w:w="60"/>
              <w:left w:type="dxa" w:w="100"/>
              <w:bottom w:type="dxa" w:w="60"/>
              <w:right w:type="dxa" w:w="100"/>
            </w:tcMar>
            <w:vAlign w:val="center"/>
          </w:tcPr>
          <w:p>
            <w:pPr>
              <w:jc w:val="left"/>
            </w:pPr>
            <w:r>
              <w:rPr>
                <w:b w:val="false"/>
                <w:bCs w:val="false"/>
                <w:sz w:val="20"/>
                <w:szCs w:val="20"/>
              </w:rPr>
              <w:t xml:space="preserve">South</w:t>
            </w:r>
          </w:p>
        </w:tc>
        <w:tc>
          <w:tcPr>
            <w:tcW w:type="dxa" w:w="2100"/>
            <w:shd w:fill="F2F2F2" w:val="clear"/>
            <w:tcMar>
              <w:top w:type="dxa" w:w="60"/>
              <w:left w:type="dxa" w:w="100"/>
              <w:bottom w:type="dxa" w:w="60"/>
              <w:right w:type="dxa" w:w="100"/>
            </w:tcMar>
            <w:vAlign w:val="center"/>
          </w:tcPr>
          <w:p>
            <w:pPr>
              <w:jc w:val="center"/>
            </w:pPr>
            <w:r>
              <w:rPr>
                <w:b w:val="false"/>
                <w:bCs w:val="false"/>
                <w:sz w:val="20"/>
                <w:szCs w:val="20"/>
              </w:rPr>
              <w:t xml:space="preserve">$447,758</w:t>
            </w:r>
          </w:p>
        </w:tc>
        <w:tc>
          <w:tcPr>
            <w:tcW w:type="dxa" w:w="2100"/>
            <w:shd w:fill="F2F2F2" w:val="clear"/>
            <w:tcMar>
              <w:top w:type="dxa" w:w="60"/>
              <w:left w:type="dxa" w:w="100"/>
              <w:bottom w:type="dxa" w:w="60"/>
              <w:right w:type="dxa" w:w="100"/>
            </w:tcMar>
            <w:vAlign w:val="center"/>
          </w:tcPr>
          <w:p>
            <w:pPr>
              <w:jc w:val="center"/>
            </w:pPr>
            <w:r>
              <w:rPr>
                <w:b w:val="false"/>
                <w:bCs w:val="false"/>
                <w:sz w:val="20"/>
                <w:szCs w:val="20"/>
              </w:rPr>
              <w:t xml:space="preserve">$40,246</w:t>
            </w:r>
          </w:p>
        </w:tc>
        <w:tc>
          <w:tcPr>
            <w:tcW w:type="dxa" w:w="2180"/>
            <w:shd w:fill="F2F2F2" w:val="clear"/>
            <w:tcMar>
              <w:top w:type="dxa" w:w="60"/>
              <w:left w:type="dxa" w:w="100"/>
              <w:bottom w:type="dxa" w:w="60"/>
              <w:right w:type="dxa" w:w="100"/>
            </w:tcMar>
            <w:vAlign w:val="center"/>
          </w:tcPr>
          <w:p>
            <w:pPr>
              <w:jc w:val="center"/>
            </w:pPr>
            <w:r>
              <w:rPr>
                <w:b w:val="false"/>
                <w:bCs w:val="false"/>
                <w:sz w:val="20"/>
                <w:szCs w:val="20"/>
              </w:rPr>
              <w:t xml:space="preserve">9.0%</w:t>
            </w:r>
          </w:p>
        </w:tc>
      </w:tr>
    </w:tbl>
    <w:p>
      <w:pPr>
        <w:spacing w:after="260" w:before="60"/>
        <w:jc w:val="center"/>
      </w:pPr>
      <w:r>
        <w:rPr>
          <w:i/>
          <w:iCs/>
          <w:color w:val="595959"/>
          <w:sz w:val="19"/>
          <w:szCs w:val="19"/>
        </w:rPr>
        <w:t xml:space="preserve">Table 8. Sales, profit, and margin by region.</w:t>
      </w:r>
    </w:p>
    <w:p>
      <w:pPr>
        <w:spacing w:after="40" w:before="160"/>
        <w:jc w:val="center"/>
      </w:pPr>
      <w:r>
        <w:drawing>
          <wp:inline distT="0" distB="0" distL="0" distR="0">
            <wp:extent cx="530352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3520" cy="3200400"/>
                    </a:xfrm>
                    <a:prstGeom prst="rect">
                      <a:avLst/>
                    </a:prstGeom>
                  </pic:spPr>
                </pic:pic>
              </a:graphicData>
            </a:graphic>
          </wp:inline>
        </w:drawing>
      </w:r>
    </w:p>
    <w:p>
      <w:pPr>
        <w:spacing w:after="260" w:before="60"/>
        <w:jc w:val="center"/>
      </w:pPr>
      <w:r>
        <w:rPr>
          <w:i/>
          <w:iCs/>
          <w:color w:val="595959"/>
          <w:sz w:val="19"/>
          <w:szCs w:val="19"/>
        </w:rPr>
        <w:t xml:space="preserve">Figure 5. Sales by region, labeled with regional profit margin.</w:t>
      </w:r>
    </w:p>
    <w:p>
      <w:pPr>
        <w:spacing w:after="40" w:before="160"/>
        <w:jc w:val="center"/>
      </w:pPr>
      <w:r>
        <w:drawing>
          <wp:inline distT="0" distB="0" distL="0" distR="0">
            <wp:extent cx="5669280" cy="4206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4206240"/>
                    </a:xfrm>
                    <a:prstGeom prst="rect">
                      <a:avLst/>
                    </a:prstGeom>
                  </pic:spPr>
                </pic:pic>
              </a:graphicData>
            </a:graphic>
          </wp:inline>
        </w:drawing>
      </w:r>
    </w:p>
    <w:p>
      <w:pPr>
        <w:spacing w:after="260" w:before="60"/>
        <w:jc w:val="center"/>
      </w:pPr>
      <w:r>
        <w:rPr>
          <w:i/>
          <w:iCs/>
          <w:color w:val="595959"/>
          <w:sz w:val="19"/>
          <w:szCs w:val="19"/>
        </w:rPr>
        <w:t xml:space="preserve">Figure 6. Top 10 states by sales — West Coast and Northeast states dominate.</w:t>
      </w:r>
    </w:p>
    <w:p>
      <w:pPr>
        <w:spacing w:after="160" w:line="276"/>
      </w:pPr>
      <w:r>
        <w:t xml:space="preserve">At the other end of the distribution, the following states generated the lowest total profit — useful for prioritizing regional account review:</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2100"/>
        <w:gridCol w:w="2180"/>
      </w:tblGrid>
      <w:tr>
        <w:trPr>
          <w:tblHeader/>
        </w:trPr>
        <w:tc>
          <w:tcPr>
            <w:tcW w:type="dxa" w:w="3300"/>
            <w:shd w:fill="1F3864" w:val="clear"/>
            <w:tcMar>
              <w:top w:type="dxa" w:w="60"/>
              <w:left w:type="dxa" w:w="100"/>
              <w:bottom w:type="dxa" w:w="60"/>
              <w:right w:type="dxa" w:w="100"/>
            </w:tcMar>
            <w:vAlign w:val="center"/>
          </w:tcPr>
          <w:p>
            <w:pPr>
              <w:jc w:val="left"/>
            </w:pPr>
            <w:r>
              <w:rPr>
                <w:b/>
                <w:bCs/>
                <w:color w:val="FFFFFF"/>
                <w:sz w:val="20"/>
                <w:szCs w:val="20"/>
              </w:rPr>
              <w:t xml:space="preserve">State</w:t>
            </w:r>
          </w:p>
        </w:tc>
        <w:tc>
          <w:tcPr>
            <w:tcW w:type="dxa" w:w="2100"/>
            <w:shd w:fill="1F3864" w:val="clear"/>
            <w:tcMar>
              <w:top w:type="dxa" w:w="60"/>
              <w:left w:type="dxa" w:w="100"/>
              <w:bottom w:type="dxa" w:w="60"/>
              <w:right w:type="dxa" w:w="100"/>
            </w:tcMar>
            <w:vAlign w:val="center"/>
          </w:tcPr>
          <w:p>
            <w:pPr>
              <w:jc w:val="center"/>
            </w:pPr>
            <w:r>
              <w:rPr>
                <w:b/>
                <w:bCs/>
                <w:color w:val="FFFFFF"/>
                <w:sz w:val="20"/>
                <w:szCs w:val="20"/>
              </w:rPr>
              <w:t xml:space="preserve">Sales</w:t>
            </w:r>
          </w:p>
        </w:tc>
        <w:tc>
          <w:tcPr>
            <w:tcW w:type="dxa" w:w="2100"/>
            <w:shd w:fill="1F3864" w:val="clear"/>
            <w:tcMar>
              <w:top w:type="dxa" w:w="60"/>
              <w:left w:type="dxa" w:w="100"/>
              <w:bottom w:type="dxa" w:w="60"/>
              <w:right w:type="dxa" w:w="100"/>
            </w:tcMar>
            <w:vAlign w:val="center"/>
          </w:tcPr>
          <w:p>
            <w:pPr>
              <w:jc w:val="center"/>
            </w:pPr>
            <w:r>
              <w:rPr>
                <w:b/>
                <w:bCs/>
                <w:color w:val="FFFFFF"/>
                <w:sz w:val="20"/>
                <w:szCs w:val="20"/>
              </w:rPr>
              <w:t xml:space="preserve">Profit</w:t>
            </w:r>
          </w:p>
        </w:tc>
        <w:tc>
          <w:tcPr>
            <w:tcW w:type="dxa" w:w="2180"/>
            <w:shd w:fill="1F3864" w:val="clear"/>
            <w:tcMar>
              <w:top w:type="dxa" w:w="60"/>
              <w:left w:type="dxa" w:w="100"/>
              <w:bottom w:type="dxa" w:w="60"/>
              <w:right w:type="dxa" w:w="100"/>
            </w:tcMar>
            <w:vAlign w:val="center"/>
          </w:tcPr>
          <w:p>
            <w:pPr>
              <w:jc w:val="center"/>
            </w:pPr>
            <w:r>
              <w:rPr>
                <w:b/>
                <w:bCs/>
                <w:color w:val="FFFFFF"/>
                <w:sz w:val="20"/>
                <w:szCs w:val="20"/>
              </w:rPr>
              <w:t xml:space="preserve">Margin</w:t>
            </w:r>
          </w:p>
        </w:tc>
      </w:tr>
      <w:tr>
        <w:tc>
          <w:tcPr>
            <w:tcW w:type="dxa" w:w="3300"/>
            <w:tcMar>
              <w:top w:type="dxa" w:w="60"/>
              <w:left w:type="dxa" w:w="100"/>
              <w:bottom w:type="dxa" w:w="60"/>
              <w:right w:type="dxa" w:w="100"/>
            </w:tcMar>
            <w:vAlign w:val="center"/>
          </w:tcPr>
          <w:p>
            <w:pPr>
              <w:jc w:val="left"/>
            </w:pPr>
            <w:r>
              <w:rPr>
                <w:b w:val="false"/>
                <w:bCs w:val="false"/>
                <w:sz w:val="20"/>
                <w:szCs w:val="20"/>
              </w:rPr>
              <w:t xml:space="preserve">Georgia</w:t>
            </w:r>
          </w:p>
        </w:tc>
        <w:tc>
          <w:tcPr>
            <w:tcW w:type="dxa" w:w="2100"/>
            <w:tcMar>
              <w:top w:type="dxa" w:w="60"/>
              <w:left w:type="dxa" w:w="100"/>
              <w:bottom w:type="dxa" w:w="60"/>
              <w:right w:type="dxa" w:w="100"/>
            </w:tcMar>
            <w:vAlign w:val="center"/>
          </w:tcPr>
          <w:p>
            <w:pPr>
              <w:jc w:val="center"/>
            </w:pPr>
            <w:r>
              <w:rPr>
                <w:b w:val="false"/>
                <w:bCs w:val="false"/>
                <w:sz w:val="20"/>
                <w:szCs w:val="20"/>
              </w:rPr>
              <w:t xml:space="preserve">$44,502</w:t>
            </w:r>
          </w:p>
        </w:tc>
        <w:tc>
          <w:tcPr>
            <w:tcW w:type="dxa" w:w="2100"/>
            <w:tcMar>
              <w:top w:type="dxa" w:w="60"/>
              <w:left w:type="dxa" w:w="100"/>
              <w:bottom w:type="dxa" w:w="60"/>
              <w:right w:type="dxa" w:w="100"/>
            </w:tcMar>
            <w:vAlign w:val="center"/>
          </w:tcPr>
          <w:p>
            <w:pPr>
              <w:jc w:val="center"/>
            </w:pPr>
            <w:r>
              <w:rPr>
                <w:b w:val="false"/>
                <w:bCs w:val="false"/>
                <w:sz w:val="20"/>
                <w:szCs w:val="20"/>
              </w:rPr>
              <w:t xml:space="preserve">$1,923</w:t>
            </w:r>
          </w:p>
        </w:tc>
        <w:tc>
          <w:tcPr>
            <w:tcW w:type="dxa" w:w="2180"/>
            <w:tcMar>
              <w:top w:type="dxa" w:w="60"/>
              <w:left w:type="dxa" w:w="100"/>
              <w:bottom w:type="dxa" w:w="60"/>
              <w:right w:type="dxa" w:w="100"/>
            </w:tcMar>
            <w:vAlign w:val="center"/>
          </w:tcPr>
          <w:p>
            <w:pPr>
              <w:jc w:val="center"/>
            </w:pPr>
            <w:r>
              <w:rPr>
                <w:b w:val="false"/>
                <w:bCs w:val="false"/>
                <w:sz w:val="20"/>
                <w:szCs w:val="20"/>
              </w:rPr>
              <w:t xml:space="preserve">4.0%</w:t>
            </w:r>
          </w:p>
        </w:tc>
      </w:tr>
      <w:tr>
        <w:tc>
          <w:tcPr>
            <w:tcW w:type="dxa" w:w="3300"/>
            <w:shd w:fill="F2F2F2" w:val="clear"/>
            <w:tcMar>
              <w:top w:type="dxa" w:w="60"/>
              <w:left w:type="dxa" w:w="100"/>
              <w:bottom w:type="dxa" w:w="60"/>
              <w:right w:type="dxa" w:w="100"/>
            </w:tcMar>
            <w:vAlign w:val="center"/>
          </w:tcPr>
          <w:p>
            <w:pPr>
              <w:jc w:val="left"/>
            </w:pPr>
            <w:r>
              <w:rPr>
                <w:b w:val="false"/>
                <w:bCs w:val="false"/>
                <w:sz w:val="20"/>
                <w:szCs w:val="20"/>
              </w:rPr>
              <w:t xml:space="preserve">Illinois</w:t>
            </w:r>
          </w:p>
        </w:tc>
        <w:tc>
          <w:tcPr>
            <w:tcW w:type="dxa" w:w="2100"/>
            <w:shd w:fill="F2F2F2" w:val="clear"/>
            <w:tcMar>
              <w:top w:type="dxa" w:w="60"/>
              <w:left w:type="dxa" w:w="100"/>
              <w:bottom w:type="dxa" w:w="60"/>
              <w:right w:type="dxa" w:w="100"/>
            </w:tcMar>
            <w:vAlign w:val="center"/>
          </w:tcPr>
          <w:p>
            <w:pPr>
              <w:jc w:val="center"/>
            </w:pPr>
            <w:r>
              <w:rPr>
                <w:b w:val="false"/>
                <w:bCs w:val="false"/>
                <w:sz w:val="20"/>
                <w:szCs w:val="20"/>
              </w:rPr>
              <w:t xml:space="preserve">$56,640</w:t>
            </w:r>
          </w:p>
        </w:tc>
        <w:tc>
          <w:tcPr>
            <w:tcW w:type="dxa" w:w="2100"/>
            <w:shd w:fill="F2F2F2" w:val="clear"/>
            <w:tcMar>
              <w:top w:type="dxa" w:w="60"/>
              <w:left w:type="dxa" w:w="100"/>
              <w:bottom w:type="dxa" w:w="60"/>
              <w:right w:type="dxa" w:w="100"/>
            </w:tcMar>
            <w:vAlign w:val="center"/>
          </w:tcPr>
          <w:p>
            <w:pPr>
              <w:jc w:val="center"/>
            </w:pPr>
            <w:r>
              <w:rPr>
                <w:b w:val="false"/>
                <w:bCs w:val="false"/>
                <w:sz w:val="20"/>
                <w:szCs w:val="20"/>
              </w:rPr>
              <w:t xml:space="preserve">$1,996</w:t>
            </w:r>
          </w:p>
        </w:tc>
        <w:tc>
          <w:tcPr>
            <w:tcW w:type="dxa" w:w="2180"/>
            <w:shd w:fill="F2F2F2" w:val="clear"/>
            <w:tcMar>
              <w:top w:type="dxa" w:w="60"/>
              <w:left w:type="dxa" w:w="100"/>
              <w:bottom w:type="dxa" w:w="60"/>
              <w:right w:type="dxa" w:w="100"/>
            </w:tcMar>
            <w:vAlign w:val="center"/>
          </w:tcPr>
          <w:p>
            <w:pPr>
              <w:jc w:val="center"/>
            </w:pPr>
            <w:r>
              <w:rPr>
                <w:b w:val="false"/>
                <w:bCs w:val="false"/>
                <w:sz w:val="20"/>
                <w:szCs w:val="20"/>
              </w:rPr>
              <w:t xml:space="preserve">4.0%</w:t>
            </w:r>
          </w:p>
        </w:tc>
      </w:tr>
      <w:tr>
        <w:tc>
          <w:tcPr>
            <w:tcW w:type="dxa" w:w="3300"/>
            <w:tcMar>
              <w:top w:type="dxa" w:w="60"/>
              <w:left w:type="dxa" w:w="100"/>
              <w:bottom w:type="dxa" w:w="60"/>
              <w:right w:type="dxa" w:w="100"/>
            </w:tcMar>
            <w:vAlign w:val="center"/>
          </w:tcPr>
          <w:p>
            <w:pPr>
              <w:jc w:val="left"/>
            </w:pPr>
            <w:r>
              <w:rPr>
                <w:b w:val="false"/>
                <w:bCs w:val="false"/>
                <w:sz w:val="20"/>
                <w:szCs w:val="20"/>
              </w:rPr>
              <w:t xml:space="preserve">Wisconsin</w:t>
            </w:r>
          </w:p>
        </w:tc>
        <w:tc>
          <w:tcPr>
            <w:tcW w:type="dxa" w:w="2100"/>
            <w:tcMar>
              <w:top w:type="dxa" w:w="60"/>
              <w:left w:type="dxa" w:w="100"/>
              <w:bottom w:type="dxa" w:w="60"/>
              <w:right w:type="dxa" w:w="100"/>
            </w:tcMar>
            <w:vAlign w:val="center"/>
          </w:tcPr>
          <w:p>
            <w:pPr>
              <w:jc w:val="center"/>
            </w:pPr>
            <w:r>
              <w:rPr>
                <w:b w:val="false"/>
                <w:bCs w:val="false"/>
                <w:sz w:val="20"/>
                <w:szCs w:val="20"/>
              </w:rPr>
              <w:t xml:space="preserve">$57,994</w:t>
            </w:r>
          </w:p>
        </w:tc>
        <w:tc>
          <w:tcPr>
            <w:tcW w:type="dxa" w:w="2100"/>
            <w:tcMar>
              <w:top w:type="dxa" w:w="60"/>
              <w:left w:type="dxa" w:w="100"/>
              <w:bottom w:type="dxa" w:w="60"/>
              <w:right w:type="dxa" w:w="100"/>
            </w:tcMar>
            <w:vAlign w:val="center"/>
          </w:tcPr>
          <w:p>
            <w:pPr>
              <w:jc w:val="center"/>
            </w:pPr>
            <w:r>
              <w:rPr>
                <w:b w:val="false"/>
                <w:bCs w:val="false"/>
                <w:sz w:val="20"/>
                <w:szCs w:val="20"/>
              </w:rPr>
              <w:t xml:space="preserve">$2,140</w:t>
            </w:r>
          </w:p>
        </w:tc>
        <w:tc>
          <w:tcPr>
            <w:tcW w:type="dxa" w:w="2180"/>
            <w:tcMar>
              <w:top w:type="dxa" w:w="60"/>
              <w:left w:type="dxa" w:w="100"/>
              <w:bottom w:type="dxa" w:w="60"/>
              <w:right w:type="dxa" w:w="100"/>
            </w:tcMar>
            <w:vAlign w:val="center"/>
          </w:tcPr>
          <w:p>
            <w:pPr>
              <w:jc w:val="center"/>
            </w:pPr>
            <w:r>
              <w:rPr>
                <w:b w:val="false"/>
                <w:bCs w:val="false"/>
                <w:sz w:val="20"/>
                <w:szCs w:val="20"/>
              </w:rPr>
              <w:t xml:space="preserve">4.0%</w:t>
            </w:r>
          </w:p>
        </w:tc>
      </w:tr>
      <w:tr>
        <w:tc>
          <w:tcPr>
            <w:tcW w:type="dxa" w:w="3300"/>
            <w:shd w:fill="F2F2F2" w:val="clear"/>
            <w:tcMar>
              <w:top w:type="dxa" w:w="60"/>
              <w:left w:type="dxa" w:w="100"/>
              <w:bottom w:type="dxa" w:w="60"/>
              <w:right w:type="dxa" w:w="100"/>
            </w:tcMar>
            <w:vAlign w:val="center"/>
          </w:tcPr>
          <w:p>
            <w:pPr>
              <w:jc w:val="left"/>
            </w:pPr>
            <w:r>
              <w:rPr>
                <w:b w:val="false"/>
                <w:bCs w:val="false"/>
                <w:sz w:val="20"/>
                <w:szCs w:val="20"/>
              </w:rPr>
              <w:t xml:space="preserve">Tennessee</w:t>
            </w:r>
          </w:p>
        </w:tc>
        <w:tc>
          <w:tcPr>
            <w:tcW w:type="dxa" w:w="2100"/>
            <w:shd w:fill="F2F2F2" w:val="clear"/>
            <w:tcMar>
              <w:top w:type="dxa" w:w="60"/>
              <w:left w:type="dxa" w:w="100"/>
              <w:bottom w:type="dxa" w:w="60"/>
              <w:right w:type="dxa" w:w="100"/>
            </w:tcMar>
            <w:vAlign w:val="center"/>
          </w:tcPr>
          <w:p>
            <w:pPr>
              <w:jc w:val="center"/>
            </w:pPr>
            <w:r>
              <w:rPr>
                <w:b w:val="false"/>
                <w:bCs w:val="false"/>
                <w:sz w:val="20"/>
                <w:szCs w:val="20"/>
              </w:rPr>
              <w:t xml:space="preserve">$43,431</w:t>
            </w:r>
          </w:p>
        </w:tc>
        <w:tc>
          <w:tcPr>
            <w:tcW w:type="dxa" w:w="2100"/>
            <w:shd w:fill="F2F2F2" w:val="clear"/>
            <w:tcMar>
              <w:top w:type="dxa" w:w="60"/>
              <w:left w:type="dxa" w:w="100"/>
              <w:bottom w:type="dxa" w:w="60"/>
              <w:right w:type="dxa" w:w="100"/>
            </w:tcMar>
            <w:vAlign w:val="center"/>
          </w:tcPr>
          <w:p>
            <w:pPr>
              <w:jc w:val="center"/>
            </w:pPr>
            <w:r>
              <w:rPr>
                <w:b w:val="false"/>
                <w:bCs w:val="false"/>
                <w:sz w:val="20"/>
                <w:szCs w:val="20"/>
              </w:rPr>
              <w:t xml:space="preserve">$2,184</w:t>
            </w:r>
          </w:p>
        </w:tc>
        <w:tc>
          <w:tcPr>
            <w:tcW w:type="dxa" w:w="2180"/>
            <w:shd w:fill="F2F2F2" w:val="clear"/>
            <w:tcMar>
              <w:top w:type="dxa" w:w="60"/>
              <w:left w:type="dxa" w:w="100"/>
              <w:bottom w:type="dxa" w:w="60"/>
              <w:right w:type="dxa" w:w="100"/>
            </w:tcMar>
            <w:vAlign w:val="center"/>
          </w:tcPr>
          <w:p>
            <w:pPr>
              <w:jc w:val="center"/>
            </w:pPr>
            <w:r>
              <w:rPr>
                <w:b w:val="false"/>
                <w:bCs w:val="false"/>
                <w:sz w:val="20"/>
                <w:szCs w:val="20"/>
              </w:rPr>
              <w:t xml:space="preserve">5.0%</w:t>
            </w:r>
          </w:p>
        </w:tc>
      </w:tr>
      <w:tr>
        <w:tc>
          <w:tcPr>
            <w:tcW w:type="dxa" w:w="3300"/>
            <w:tcMar>
              <w:top w:type="dxa" w:w="60"/>
              <w:left w:type="dxa" w:w="100"/>
              <w:bottom w:type="dxa" w:w="60"/>
              <w:right w:type="dxa" w:w="100"/>
            </w:tcMar>
            <w:vAlign w:val="center"/>
          </w:tcPr>
          <w:p>
            <w:pPr>
              <w:jc w:val="left"/>
            </w:pPr>
            <w:r>
              <w:rPr>
                <w:b w:val="false"/>
                <w:bCs w:val="false"/>
                <w:sz w:val="20"/>
                <w:szCs w:val="20"/>
              </w:rPr>
              <w:t xml:space="preserve">Mississippi</w:t>
            </w:r>
          </w:p>
        </w:tc>
        <w:tc>
          <w:tcPr>
            <w:tcW w:type="dxa" w:w="2100"/>
            <w:tcMar>
              <w:top w:type="dxa" w:w="60"/>
              <w:left w:type="dxa" w:w="100"/>
              <w:bottom w:type="dxa" w:w="60"/>
              <w:right w:type="dxa" w:w="100"/>
            </w:tcMar>
            <w:vAlign w:val="center"/>
          </w:tcPr>
          <w:p>
            <w:pPr>
              <w:jc w:val="center"/>
            </w:pPr>
            <w:r>
              <w:rPr>
                <w:b w:val="false"/>
                <w:bCs w:val="false"/>
                <w:sz w:val="20"/>
                <w:szCs w:val="20"/>
              </w:rPr>
              <w:t xml:space="preserve">$44,225</w:t>
            </w:r>
          </w:p>
        </w:tc>
        <w:tc>
          <w:tcPr>
            <w:tcW w:type="dxa" w:w="2100"/>
            <w:tcMar>
              <w:top w:type="dxa" w:w="60"/>
              <w:left w:type="dxa" w:w="100"/>
              <w:bottom w:type="dxa" w:w="60"/>
              <w:right w:type="dxa" w:w="100"/>
            </w:tcMar>
            <w:vAlign w:val="center"/>
          </w:tcPr>
          <w:p>
            <w:pPr>
              <w:jc w:val="center"/>
            </w:pPr>
            <w:r>
              <w:rPr>
                <w:b w:val="false"/>
                <w:bCs w:val="false"/>
                <w:sz w:val="20"/>
                <w:szCs w:val="20"/>
              </w:rPr>
              <w:t xml:space="preserve">$2,316</w:t>
            </w:r>
          </w:p>
        </w:tc>
        <w:tc>
          <w:tcPr>
            <w:tcW w:type="dxa" w:w="2180"/>
            <w:tcMar>
              <w:top w:type="dxa" w:w="60"/>
              <w:left w:type="dxa" w:w="100"/>
              <w:bottom w:type="dxa" w:w="60"/>
              <w:right w:type="dxa" w:w="100"/>
            </w:tcMar>
            <w:vAlign w:val="center"/>
          </w:tcPr>
          <w:p>
            <w:pPr>
              <w:jc w:val="center"/>
            </w:pPr>
            <w:r>
              <w:rPr>
                <w:b w:val="false"/>
                <w:bCs w:val="false"/>
                <w:sz w:val="20"/>
                <w:szCs w:val="20"/>
              </w:rPr>
              <w:t xml:space="preserve">5.0%</w:t>
            </w:r>
          </w:p>
        </w:tc>
      </w:tr>
      <w:tr>
        <w:tc>
          <w:tcPr>
            <w:tcW w:type="dxa" w:w="3300"/>
            <w:shd w:fill="F2F2F2" w:val="clear"/>
            <w:tcMar>
              <w:top w:type="dxa" w:w="60"/>
              <w:left w:type="dxa" w:w="100"/>
              <w:bottom w:type="dxa" w:w="60"/>
              <w:right w:type="dxa" w:w="100"/>
            </w:tcMar>
            <w:vAlign w:val="center"/>
          </w:tcPr>
          <w:p>
            <w:pPr>
              <w:jc w:val="left"/>
            </w:pPr>
            <w:r>
              <w:rPr>
                <w:b w:val="false"/>
                <w:bCs w:val="false"/>
                <w:sz w:val="20"/>
                <w:szCs w:val="20"/>
              </w:rPr>
              <w:t xml:space="preserve">Kansas</w:t>
            </w:r>
          </w:p>
        </w:tc>
        <w:tc>
          <w:tcPr>
            <w:tcW w:type="dxa" w:w="2100"/>
            <w:shd w:fill="F2F2F2" w:val="clear"/>
            <w:tcMar>
              <w:top w:type="dxa" w:w="60"/>
              <w:left w:type="dxa" w:w="100"/>
              <w:bottom w:type="dxa" w:w="60"/>
              <w:right w:type="dxa" w:w="100"/>
            </w:tcMar>
            <w:vAlign w:val="center"/>
          </w:tcPr>
          <w:p>
            <w:pPr>
              <w:jc w:val="center"/>
            </w:pPr>
            <w:r>
              <w:rPr>
                <w:b w:val="false"/>
                <w:bCs w:val="false"/>
                <w:sz w:val="20"/>
                <w:szCs w:val="20"/>
              </w:rPr>
              <w:t xml:space="preserve">$56,442</w:t>
            </w:r>
          </w:p>
        </w:tc>
        <w:tc>
          <w:tcPr>
            <w:tcW w:type="dxa" w:w="2100"/>
            <w:shd w:fill="F2F2F2" w:val="clear"/>
            <w:tcMar>
              <w:top w:type="dxa" w:w="60"/>
              <w:left w:type="dxa" w:w="100"/>
              <w:bottom w:type="dxa" w:w="60"/>
              <w:right w:type="dxa" w:w="100"/>
            </w:tcMar>
            <w:vAlign w:val="center"/>
          </w:tcPr>
          <w:p>
            <w:pPr>
              <w:jc w:val="center"/>
            </w:pPr>
            <w:r>
              <w:rPr>
                <w:b w:val="false"/>
                <w:bCs w:val="false"/>
                <w:sz w:val="20"/>
                <w:szCs w:val="20"/>
              </w:rPr>
              <w:t xml:space="preserve">$3,288</w:t>
            </w:r>
          </w:p>
        </w:tc>
        <w:tc>
          <w:tcPr>
            <w:tcW w:type="dxa" w:w="2180"/>
            <w:shd w:fill="F2F2F2" w:val="clear"/>
            <w:tcMar>
              <w:top w:type="dxa" w:w="60"/>
              <w:left w:type="dxa" w:w="100"/>
              <w:bottom w:type="dxa" w:w="60"/>
              <w:right w:type="dxa" w:w="100"/>
            </w:tcMar>
            <w:vAlign w:val="center"/>
          </w:tcPr>
          <w:p>
            <w:pPr>
              <w:jc w:val="center"/>
            </w:pPr>
            <w:r>
              <w:rPr>
                <w:b w:val="false"/>
                <w:bCs w:val="false"/>
                <w:sz w:val="20"/>
                <w:szCs w:val="20"/>
              </w:rPr>
              <w:t xml:space="preserve">6.0%</w:t>
            </w:r>
          </w:p>
        </w:tc>
      </w:tr>
    </w:tbl>
    <w:p>
      <w:pPr>
        <w:spacing w:after="260" w:before="60"/>
        <w:jc w:val="center"/>
      </w:pPr>
      <w:r>
        <w:rPr>
          <w:i/>
          <w:iCs/>
          <w:color w:val="595959"/>
          <w:sz w:val="19"/>
          <w:szCs w:val="19"/>
        </w:rPr>
        <w:t xml:space="preserve">Table 9. Lowest-profit states (top 6 of 10 shown).</w:t>
      </w:r>
    </w:p>
    <w:p>
      <w:pPr>
        <w:pStyle w:val="Heading2"/>
        <w:spacing w:after="120" w:before="280"/>
      </w:pPr>
      <w:r>
        <w:t xml:space="preserve">5.5 Discount Impact on Profitability</w:t>
      </w:r>
    </w:p>
    <w:p>
      <w:pPr>
        <w:spacing w:after="160" w:line="276"/>
      </w:pPr>
      <w:r>
        <w:t xml:space="preserve">Discount rate is the single strongest driver of profitability found in this dataset: the correlation between discount and profit margin at the line-item level is -0.66, a strong negative relationship. Below ~30% discount, margins remain positive; above that threshold they turn reliably negative.</w:t>
      </w:r>
    </w:p>
    <w:p>
      <w:pPr>
        <w:spacing w:after="40" w:before="16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657600"/>
                    </a:xfrm>
                    <a:prstGeom prst="rect">
                      <a:avLst/>
                    </a:prstGeom>
                  </pic:spPr>
                </pic:pic>
              </a:graphicData>
            </a:graphic>
          </wp:inline>
        </w:drawing>
      </w:r>
    </w:p>
    <w:p>
      <w:pPr>
        <w:spacing w:after="260" w:before="60"/>
        <w:jc w:val="center"/>
      </w:pPr>
      <w:r>
        <w:rPr>
          <w:i/>
          <w:iCs/>
          <w:color w:val="595959"/>
          <w:sz w:val="19"/>
          <w:szCs w:val="19"/>
        </w:rPr>
        <w:t xml:space="preserve">Figure 7. Discount vs. profit at the line-item level (sample of 1,800 points). Losses (red) cluster heavily at higher discount rates.</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900"/>
        <w:gridCol w:w="2890"/>
        <w:gridCol w:w="2890"/>
      </w:tblGrid>
      <w:tr>
        <w:trPr>
          <w:tblHeader/>
        </w:trPr>
        <w:tc>
          <w:tcPr>
            <w:tcW w:type="dxa" w:w="2900"/>
            <w:shd w:fill="1F3864" w:val="clear"/>
            <w:tcMar>
              <w:top w:type="dxa" w:w="60"/>
              <w:left w:type="dxa" w:w="100"/>
              <w:bottom w:type="dxa" w:w="60"/>
              <w:right w:type="dxa" w:w="100"/>
            </w:tcMar>
            <w:vAlign w:val="center"/>
          </w:tcPr>
          <w:p>
            <w:pPr>
              <w:jc w:val="left"/>
            </w:pPr>
            <w:r>
              <w:rPr>
                <w:b/>
                <w:bCs/>
                <w:color w:val="FFFFFF"/>
                <w:sz w:val="20"/>
                <w:szCs w:val="20"/>
              </w:rPr>
              <w:t xml:space="preserve">Discount Band</w:t>
            </w:r>
          </w:p>
        </w:tc>
        <w:tc>
          <w:tcPr>
            <w:tcW w:type="dxa" w:w="2890"/>
            <w:shd w:fill="1F3864" w:val="clear"/>
            <w:tcMar>
              <w:top w:type="dxa" w:w="60"/>
              <w:left w:type="dxa" w:w="100"/>
              <w:bottom w:type="dxa" w:w="60"/>
              <w:right w:type="dxa" w:w="100"/>
            </w:tcMar>
            <w:vAlign w:val="center"/>
          </w:tcPr>
          <w:p>
            <w:pPr>
              <w:jc w:val="center"/>
            </w:pPr>
            <w:r>
              <w:rPr>
                <w:b/>
                <w:bCs/>
                <w:color w:val="FFFFFF"/>
                <w:sz w:val="20"/>
                <w:szCs w:val="20"/>
              </w:rPr>
              <w:t xml:space="preserve">Avg. Profit Margin</w:t>
            </w:r>
          </w:p>
        </w:tc>
        <w:tc>
          <w:tcPr>
            <w:tcW w:type="dxa" w:w="2890"/>
            <w:shd w:fill="1F3864" w:val="clear"/>
            <w:tcMar>
              <w:top w:type="dxa" w:w="60"/>
              <w:left w:type="dxa" w:w="100"/>
              <w:bottom w:type="dxa" w:w="60"/>
              <w:right w:type="dxa" w:w="100"/>
            </w:tcMar>
            <w:vAlign w:val="center"/>
          </w:tcPr>
          <w:p>
            <w:pPr>
              <w:jc w:val="center"/>
            </w:pPr>
            <w:r>
              <w:rPr>
                <w:b/>
                <w:bCs/>
                <w:color w:val="FFFFFF"/>
                <w:sz w:val="20"/>
                <w:szCs w:val="20"/>
              </w:rPr>
              <w:t xml:space="preserve">Line Items</w:t>
            </w:r>
          </w:p>
        </w:tc>
      </w:tr>
      <w:tr>
        <w:tc>
          <w:tcPr>
            <w:tcW w:type="dxa" w:w="2900"/>
            <w:tcMar>
              <w:top w:type="dxa" w:w="60"/>
              <w:left w:type="dxa" w:w="100"/>
              <w:bottom w:type="dxa" w:w="60"/>
              <w:right w:type="dxa" w:w="100"/>
            </w:tcMar>
            <w:vAlign w:val="center"/>
          </w:tcPr>
          <w:p>
            <w:pPr>
              <w:jc w:val="left"/>
            </w:pPr>
            <w:r>
              <w:rPr>
                <w:b w:val="false"/>
                <w:bCs w:val="false"/>
                <w:sz w:val="20"/>
                <w:szCs w:val="20"/>
              </w:rPr>
              <w:t xml:space="preserve">0%</w:t>
            </w:r>
          </w:p>
        </w:tc>
        <w:tc>
          <w:tcPr>
            <w:tcW w:type="dxa" w:w="2890"/>
            <w:tcMar>
              <w:top w:type="dxa" w:w="60"/>
              <w:left w:type="dxa" w:w="100"/>
              <w:bottom w:type="dxa" w:w="60"/>
              <w:right w:type="dxa" w:w="100"/>
            </w:tcMar>
            <w:vAlign w:val="center"/>
          </w:tcPr>
          <w:p>
            <w:pPr>
              <w:jc w:val="center"/>
            </w:pPr>
            <w:r>
              <w:rPr>
                <w:b w:val="false"/>
                <w:bCs w:val="false"/>
                <w:sz w:val="20"/>
                <w:szCs w:val="20"/>
              </w:rPr>
              <w:t xml:space="preserve">28.5%</w:t>
            </w:r>
          </w:p>
        </w:tc>
        <w:tc>
          <w:tcPr>
            <w:tcW w:type="dxa" w:w="2890"/>
            <w:tcMar>
              <w:top w:type="dxa" w:w="60"/>
              <w:left w:type="dxa" w:w="100"/>
              <w:bottom w:type="dxa" w:w="60"/>
              <w:right w:type="dxa" w:w="100"/>
            </w:tcMar>
            <w:vAlign w:val="center"/>
          </w:tcPr>
          <w:p>
            <w:pPr>
              <w:jc w:val="center"/>
            </w:pPr>
            <w:r>
              <w:rPr>
                <w:b w:val="false"/>
                <w:bCs w:val="false"/>
                <w:sz w:val="20"/>
                <w:szCs w:val="20"/>
              </w:rPr>
              <w:t xml:space="preserve">5,062</w:t>
            </w:r>
          </w:p>
        </w:tc>
      </w:tr>
      <w:tr>
        <w:tc>
          <w:tcPr>
            <w:tcW w:type="dxa" w:w="2900"/>
            <w:shd w:fill="F2F2F2" w:val="clear"/>
            <w:tcMar>
              <w:top w:type="dxa" w:w="60"/>
              <w:left w:type="dxa" w:w="100"/>
              <w:bottom w:type="dxa" w:w="60"/>
              <w:right w:type="dxa" w:w="100"/>
            </w:tcMar>
            <w:vAlign w:val="center"/>
          </w:tcPr>
          <w:p>
            <w:pPr>
              <w:jc w:val="left"/>
            </w:pPr>
            <w:r>
              <w:rPr>
                <w:b w:val="false"/>
                <w:bCs w:val="false"/>
                <w:sz w:val="20"/>
                <w:szCs w:val="20"/>
              </w:rPr>
              <w:t xml:space="preserve">1-20%</w:t>
            </w:r>
          </w:p>
        </w:tc>
        <w:tc>
          <w:tcPr>
            <w:tcW w:type="dxa" w:w="2890"/>
            <w:shd w:fill="F2F2F2" w:val="clear"/>
            <w:tcMar>
              <w:top w:type="dxa" w:w="60"/>
              <w:left w:type="dxa" w:w="100"/>
              <w:bottom w:type="dxa" w:w="60"/>
              <w:right w:type="dxa" w:w="100"/>
            </w:tcMar>
            <w:vAlign w:val="center"/>
          </w:tcPr>
          <w:p>
            <w:pPr>
              <w:jc w:val="center"/>
            </w:pPr>
            <w:r>
              <w:rPr>
                <w:b w:val="false"/>
                <w:bCs w:val="false"/>
                <w:sz w:val="20"/>
                <w:szCs w:val="20"/>
              </w:rPr>
              <w:t xml:space="preserve">19.5%</w:t>
            </w:r>
          </w:p>
        </w:tc>
        <w:tc>
          <w:tcPr>
            <w:tcW w:type="dxa" w:w="2890"/>
            <w:shd w:fill="F2F2F2" w:val="clear"/>
            <w:tcMar>
              <w:top w:type="dxa" w:w="60"/>
              <w:left w:type="dxa" w:w="100"/>
              <w:bottom w:type="dxa" w:w="60"/>
              <w:right w:type="dxa" w:w="100"/>
            </w:tcMar>
            <w:vAlign w:val="center"/>
          </w:tcPr>
          <w:p>
            <w:pPr>
              <w:jc w:val="center"/>
            </w:pPr>
            <w:r>
              <w:rPr>
                <w:b w:val="false"/>
                <w:bCs w:val="false"/>
                <w:sz w:val="20"/>
                <w:szCs w:val="20"/>
              </w:rPr>
              <w:t xml:space="preserve">3,124</w:t>
            </w:r>
          </w:p>
        </w:tc>
      </w:tr>
      <w:tr>
        <w:tc>
          <w:tcPr>
            <w:tcW w:type="dxa" w:w="2900"/>
            <w:tcMar>
              <w:top w:type="dxa" w:w="60"/>
              <w:left w:type="dxa" w:w="100"/>
              <w:bottom w:type="dxa" w:w="60"/>
              <w:right w:type="dxa" w:w="100"/>
            </w:tcMar>
            <w:vAlign w:val="center"/>
          </w:tcPr>
          <w:p>
            <w:pPr>
              <w:jc w:val="left"/>
            </w:pPr>
            <w:r>
              <w:rPr>
                <w:b w:val="false"/>
                <w:bCs w:val="false"/>
                <w:sz w:val="20"/>
                <w:szCs w:val="20"/>
              </w:rPr>
              <w:t xml:space="preserve">21-30%</w:t>
            </w:r>
          </w:p>
        </w:tc>
        <w:tc>
          <w:tcPr>
            <w:tcW w:type="dxa" w:w="2890"/>
            <w:tcMar>
              <w:top w:type="dxa" w:w="60"/>
              <w:left w:type="dxa" w:w="100"/>
              <w:bottom w:type="dxa" w:w="60"/>
              <w:right w:type="dxa" w:w="100"/>
            </w:tcMar>
            <w:vAlign w:val="center"/>
          </w:tcPr>
          <w:p>
            <w:pPr>
              <w:jc w:val="center"/>
            </w:pPr>
            <w:r>
              <w:rPr>
                <w:b w:val="false"/>
                <w:bCs w:val="false"/>
                <w:sz w:val="20"/>
                <w:szCs w:val="20"/>
              </w:rPr>
              <w:t xml:space="preserve">16.1%</w:t>
            </w:r>
          </w:p>
        </w:tc>
        <w:tc>
          <w:tcPr>
            <w:tcW w:type="dxa" w:w="2890"/>
            <w:tcMar>
              <w:top w:type="dxa" w:w="60"/>
              <w:left w:type="dxa" w:w="100"/>
              <w:bottom w:type="dxa" w:w="60"/>
              <w:right w:type="dxa" w:w="100"/>
            </w:tcMar>
            <w:vAlign w:val="center"/>
          </w:tcPr>
          <w:p>
            <w:pPr>
              <w:jc w:val="center"/>
            </w:pPr>
            <w:r>
              <w:rPr>
                <w:b w:val="false"/>
                <w:bCs w:val="false"/>
                <w:sz w:val="20"/>
                <w:szCs w:val="20"/>
              </w:rPr>
              <w:t xml:space="preserve">461</w:t>
            </w:r>
          </w:p>
        </w:tc>
      </w:tr>
      <w:tr>
        <w:tc>
          <w:tcPr>
            <w:tcW w:type="dxa" w:w="2900"/>
            <w:shd w:fill="F2F2F2" w:val="clear"/>
            <w:tcMar>
              <w:top w:type="dxa" w:w="60"/>
              <w:left w:type="dxa" w:w="100"/>
              <w:bottom w:type="dxa" w:w="60"/>
              <w:right w:type="dxa" w:w="100"/>
            </w:tcMar>
            <w:vAlign w:val="center"/>
          </w:tcPr>
          <w:p>
            <w:pPr>
              <w:jc w:val="left"/>
            </w:pPr>
            <w:r>
              <w:rPr>
                <w:b w:val="false"/>
                <w:bCs w:val="false"/>
                <w:sz w:val="20"/>
                <w:szCs w:val="20"/>
              </w:rPr>
              <w:t xml:space="preserve">31-50%</w:t>
            </w:r>
          </w:p>
        </w:tc>
        <w:tc>
          <w:tcPr>
            <w:tcW w:type="dxa" w:w="2890"/>
            <w:shd w:fill="F2F2F2" w:val="clear"/>
            <w:tcMar>
              <w:top w:type="dxa" w:w="60"/>
              <w:left w:type="dxa" w:w="100"/>
              <w:bottom w:type="dxa" w:w="60"/>
              <w:right w:type="dxa" w:w="100"/>
            </w:tcMar>
            <w:vAlign w:val="center"/>
          </w:tcPr>
          <w:p>
            <w:pPr>
              <w:jc w:val="center"/>
            </w:pPr>
            <w:r>
              <w:rPr>
                <w:b w:val="false"/>
                <w:bCs w:val="false"/>
                <w:sz w:val="20"/>
                <w:szCs w:val="20"/>
              </w:rPr>
              <w:t xml:space="preserve">-3.6%</w:t>
            </w:r>
          </w:p>
        </w:tc>
        <w:tc>
          <w:tcPr>
            <w:tcW w:type="dxa" w:w="2890"/>
            <w:shd w:fill="F2F2F2" w:val="clear"/>
            <w:tcMar>
              <w:top w:type="dxa" w:w="60"/>
              <w:left w:type="dxa" w:w="100"/>
              <w:bottom w:type="dxa" w:w="60"/>
              <w:right w:type="dxa" w:w="100"/>
            </w:tcMar>
            <w:vAlign w:val="center"/>
          </w:tcPr>
          <w:p>
            <w:pPr>
              <w:jc w:val="center"/>
            </w:pPr>
            <w:r>
              <w:rPr>
                <w:b w:val="false"/>
                <w:bCs w:val="false"/>
                <w:sz w:val="20"/>
                <w:szCs w:val="20"/>
              </w:rPr>
              <w:t xml:space="preserve">1,160</w:t>
            </w:r>
          </w:p>
        </w:tc>
      </w:tr>
      <w:tr>
        <w:tc>
          <w:tcPr>
            <w:tcW w:type="dxa" w:w="2900"/>
            <w:tcMar>
              <w:top w:type="dxa" w:w="60"/>
              <w:left w:type="dxa" w:w="100"/>
              <w:bottom w:type="dxa" w:w="60"/>
              <w:right w:type="dxa" w:w="100"/>
            </w:tcMar>
            <w:vAlign w:val="center"/>
          </w:tcPr>
          <w:p>
            <w:pPr>
              <w:jc w:val="left"/>
            </w:pPr>
            <w:r>
              <w:rPr>
                <w:b w:val="false"/>
                <w:bCs w:val="false"/>
                <w:sz w:val="20"/>
                <w:szCs w:val="20"/>
              </w:rPr>
              <w:t xml:space="preserve">51-80%</w:t>
            </w:r>
          </w:p>
        </w:tc>
        <w:tc>
          <w:tcPr>
            <w:tcW w:type="dxa" w:w="2890"/>
            <w:tcMar>
              <w:top w:type="dxa" w:w="60"/>
              <w:left w:type="dxa" w:w="100"/>
              <w:bottom w:type="dxa" w:w="60"/>
              <w:right w:type="dxa" w:w="100"/>
            </w:tcMar>
            <w:vAlign w:val="center"/>
          </w:tcPr>
          <w:p>
            <w:pPr>
              <w:jc w:val="center"/>
            </w:pPr>
            <w:r>
              <w:rPr>
                <w:b w:val="false"/>
                <w:bCs w:val="false"/>
                <w:sz w:val="20"/>
                <w:szCs w:val="20"/>
              </w:rPr>
              <w:t xml:space="preserve">-5.8%</w:t>
            </w:r>
          </w:p>
        </w:tc>
        <w:tc>
          <w:tcPr>
            <w:tcW w:type="dxa" w:w="2890"/>
            <w:tcMar>
              <w:top w:type="dxa" w:w="60"/>
              <w:left w:type="dxa" w:w="100"/>
              <w:bottom w:type="dxa" w:w="60"/>
              <w:right w:type="dxa" w:w="100"/>
            </w:tcMar>
            <w:vAlign w:val="center"/>
          </w:tcPr>
          <w:p>
            <w:pPr>
              <w:jc w:val="center"/>
            </w:pPr>
            <w:r>
              <w:rPr>
                <w:b w:val="false"/>
                <w:bCs w:val="false"/>
                <w:sz w:val="20"/>
                <w:szCs w:val="20"/>
              </w:rPr>
              <w:t xml:space="preserve">187</w:t>
            </w:r>
          </w:p>
        </w:tc>
      </w:tr>
    </w:tbl>
    <w:p>
      <w:pPr>
        <w:spacing w:after="260" w:before="60"/>
        <w:jc w:val="center"/>
      </w:pPr>
      <w:r>
        <w:rPr>
          <w:i/>
          <w:iCs/>
          <w:color w:val="595959"/>
          <w:sz w:val="19"/>
          <w:szCs w:val="19"/>
        </w:rPr>
        <w:t xml:space="preserve">Table 10. Average profit margin by discount band — the tipping point into negative margin sits between 21–30% and 31–50%.</w:t>
      </w:r>
    </w:p>
    <w:p>
      <w:pPr>
        <w:spacing w:after="40" w:before="160"/>
        <w:jc w:val="center"/>
      </w:pPr>
      <w:r>
        <w:drawing>
          <wp:inline distT="0" distB="0" distL="0" distR="0">
            <wp:extent cx="530352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3520" cy="3200400"/>
                    </a:xfrm>
                    <a:prstGeom prst="rect">
                      <a:avLst/>
                    </a:prstGeom>
                  </pic:spPr>
                </pic:pic>
              </a:graphicData>
            </a:graphic>
          </wp:inline>
        </w:drawing>
      </w:r>
    </w:p>
    <w:p>
      <w:pPr>
        <w:spacing w:after="260" w:before="60"/>
        <w:jc w:val="center"/>
      </w:pPr>
      <w:r>
        <w:rPr>
          <w:i/>
          <w:iCs/>
          <w:color w:val="595959"/>
          <w:sz w:val="19"/>
          <w:szCs w:val="19"/>
        </w:rPr>
        <w:t xml:space="preserve">Figure 8. Average profit margin collapses once discounts exceed roughly 30%.</w:t>
      </w:r>
    </w:p>
    <w:p>
      <w:pPr>
        <w:pStyle w:val="Heading2"/>
        <w:spacing w:after="120" w:before="280"/>
      </w:pPr>
      <w:r>
        <w:t xml:space="preserve">5.6 Customer Segment Analysis</w:t>
      </w:r>
    </w:p>
    <w:p>
      <w:pPr>
        <w:spacing w:after="160" w:line="276"/>
      </w:pPr>
      <w:r>
        <w:t xml:space="preserve">Consumer is the largest segment by both customer count and sales, but all three segments post very similar profit margins, indicating the company's discounting and pricing approach is applied fairly uniformly across segments rather than being segment-driven.</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2200"/>
        <w:gridCol w:w="1850"/>
        <w:gridCol w:w="1850"/>
        <w:gridCol w:w="1400"/>
        <w:gridCol w:w="118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20"/>
                <w:szCs w:val="20"/>
              </w:rPr>
              <w:t xml:space="preserve">Segment</w:t>
            </w:r>
          </w:p>
        </w:tc>
        <w:tc>
          <w:tcPr>
            <w:tcW w:type="dxa" w:w="1850"/>
            <w:shd w:fill="1F3864" w:val="clear"/>
            <w:tcMar>
              <w:top w:type="dxa" w:w="60"/>
              <w:left w:type="dxa" w:w="100"/>
              <w:bottom w:type="dxa" w:w="60"/>
              <w:right w:type="dxa" w:w="100"/>
            </w:tcMar>
            <w:vAlign w:val="center"/>
          </w:tcPr>
          <w:p>
            <w:pPr>
              <w:jc w:val="center"/>
            </w:pPr>
            <w:r>
              <w:rPr>
                <w:b/>
                <w:bCs/>
                <w:color w:val="FFFFFF"/>
                <w:sz w:val="20"/>
                <w:szCs w:val="20"/>
              </w:rPr>
              <w:t xml:space="preserve">Sales</w:t>
            </w:r>
          </w:p>
        </w:tc>
        <w:tc>
          <w:tcPr>
            <w:tcW w:type="dxa" w:w="1850"/>
            <w:shd w:fill="1F3864" w:val="clear"/>
            <w:tcMar>
              <w:top w:type="dxa" w:w="60"/>
              <w:left w:type="dxa" w:w="100"/>
              <w:bottom w:type="dxa" w:w="60"/>
              <w:right w:type="dxa" w:w="100"/>
            </w:tcMar>
            <w:vAlign w:val="center"/>
          </w:tcPr>
          <w:p>
            <w:pPr>
              <w:jc w:val="center"/>
            </w:pPr>
            <w:r>
              <w:rPr>
                <w:b/>
                <w:bCs/>
                <w:color w:val="FFFFFF"/>
                <w:sz w:val="20"/>
                <w:szCs w:val="20"/>
              </w:rPr>
              <w:t xml:space="preserve">Profit</w:t>
            </w:r>
          </w:p>
        </w:tc>
        <w:tc>
          <w:tcPr>
            <w:tcW w:type="dxa" w:w="1400"/>
            <w:shd w:fill="1F3864" w:val="clear"/>
            <w:tcMar>
              <w:top w:type="dxa" w:w="60"/>
              <w:left w:type="dxa" w:w="100"/>
              <w:bottom w:type="dxa" w:w="60"/>
              <w:right w:type="dxa" w:w="100"/>
            </w:tcMar>
            <w:vAlign w:val="center"/>
          </w:tcPr>
          <w:p>
            <w:pPr>
              <w:jc w:val="center"/>
            </w:pPr>
            <w:r>
              <w:rPr>
                <w:b/>
                <w:bCs/>
                <w:color w:val="FFFFFF"/>
                <w:sz w:val="20"/>
                <w:szCs w:val="20"/>
              </w:rPr>
              <w:t xml:space="preserve">Margin</w:t>
            </w:r>
          </w:p>
        </w:tc>
        <w:tc>
          <w:tcPr>
            <w:tcW w:type="dxa" w:w="1180"/>
            <w:shd w:fill="1F3864" w:val="clear"/>
            <w:tcMar>
              <w:top w:type="dxa" w:w="60"/>
              <w:left w:type="dxa" w:w="100"/>
              <w:bottom w:type="dxa" w:w="60"/>
              <w:right w:type="dxa" w:w="100"/>
            </w:tcMar>
            <w:vAlign w:val="center"/>
          </w:tcPr>
          <w:p>
            <w:pPr>
              <w:jc w:val="center"/>
            </w:pPr>
            <w:r>
              <w:rPr>
                <w:b/>
                <w:bCs/>
                <w:color w:val="FFFFFF"/>
                <w:sz w:val="20"/>
                <w:szCs w:val="20"/>
              </w:rPr>
              <w:t xml:space="preserve">Customers</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Consumer</w:t>
            </w:r>
          </w:p>
        </w:tc>
        <w:tc>
          <w:tcPr>
            <w:tcW w:type="dxa" w:w="1850"/>
            <w:tcMar>
              <w:top w:type="dxa" w:w="60"/>
              <w:left w:type="dxa" w:w="100"/>
              <w:bottom w:type="dxa" w:w="60"/>
              <w:right w:type="dxa" w:w="100"/>
            </w:tcMar>
            <w:vAlign w:val="center"/>
          </w:tcPr>
          <w:p>
            <w:pPr>
              <w:jc w:val="center"/>
            </w:pPr>
            <w:r>
              <w:rPr>
                <w:b w:val="false"/>
                <w:bCs w:val="false"/>
                <w:sz w:val="20"/>
                <w:szCs w:val="20"/>
              </w:rPr>
              <w:t xml:space="preserve">$1,359,175</w:t>
            </w:r>
          </w:p>
        </w:tc>
        <w:tc>
          <w:tcPr>
            <w:tcW w:type="dxa" w:w="1850"/>
            <w:tcMar>
              <w:top w:type="dxa" w:w="60"/>
              <w:left w:type="dxa" w:w="100"/>
              <w:bottom w:type="dxa" w:w="60"/>
              <w:right w:type="dxa" w:w="100"/>
            </w:tcMar>
            <w:vAlign w:val="center"/>
          </w:tcPr>
          <w:p>
            <w:pPr>
              <w:jc w:val="center"/>
            </w:pPr>
            <w:r>
              <w:rPr>
                <w:b w:val="false"/>
                <w:bCs w:val="false"/>
                <w:sz w:val="20"/>
                <w:szCs w:val="20"/>
              </w:rPr>
              <w:t xml:space="preserve">$129,525</w:t>
            </w:r>
          </w:p>
        </w:tc>
        <w:tc>
          <w:tcPr>
            <w:tcW w:type="dxa" w:w="1400"/>
            <w:tcMar>
              <w:top w:type="dxa" w:w="60"/>
              <w:left w:type="dxa" w:w="100"/>
              <w:bottom w:type="dxa" w:w="60"/>
              <w:right w:type="dxa" w:w="100"/>
            </w:tcMar>
            <w:vAlign w:val="center"/>
          </w:tcPr>
          <w:p>
            <w:pPr>
              <w:jc w:val="center"/>
            </w:pPr>
            <w:r>
              <w:rPr>
                <w:b w:val="false"/>
                <w:bCs w:val="false"/>
                <w:sz w:val="20"/>
                <w:szCs w:val="20"/>
              </w:rPr>
              <w:t xml:space="preserve">10.0%</w:t>
            </w:r>
          </w:p>
        </w:tc>
        <w:tc>
          <w:tcPr>
            <w:tcW w:type="dxa" w:w="1180"/>
            <w:tcMar>
              <w:top w:type="dxa" w:w="60"/>
              <w:left w:type="dxa" w:w="100"/>
              <w:bottom w:type="dxa" w:w="60"/>
              <w:right w:type="dxa" w:w="100"/>
            </w:tcMar>
            <w:vAlign w:val="center"/>
          </w:tcPr>
          <w:p>
            <w:pPr>
              <w:jc w:val="center"/>
            </w:pPr>
            <w:r>
              <w:rPr>
                <w:b w:val="false"/>
                <w:bCs w:val="false"/>
                <w:sz w:val="20"/>
                <w:szCs w:val="20"/>
              </w:rPr>
              <w:t xml:space="preserve">799</w:t>
            </w:r>
          </w:p>
        </w:tc>
      </w:tr>
      <w:tr>
        <w:tc>
          <w:tcPr>
            <w:tcW w:type="dxa" w:w="2200"/>
            <w:shd w:fill="F2F2F2" w:val="clear"/>
            <w:tcMar>
              <w:top w:type="dxa" w:w="60"/>
              <w:left w:type="dxa" w:w="100"/>
              <w:bottom w:type="dxa" w:w="60"/>
              <w:right w:type="dxa" w:w="100"/>
            </w:tcMar>
            <w:vAlign w:val="center"/>
          </w:tcPr>
          <w:p>
            <w:pPr>
              <w:jc w:val="left"/>
            </w:pPr>
            <w:r>
              <w:rPr>
                <w:b w:val="false"/>
                <w:bCs w:val="false"/>
                <w:sz w:val="20"/>
                <w:szCs w:val="20"/>
              </w:rPr>
              <w:t xml:space="preserve">Corporate</w:t>
            </w:r>
          </w:p>
        </w:tc>
        <w:tc>
          <w:tcPr>
            <w:tcW w:type="dxa" w:w="1850"/>
            <w:shd w:fill="F2F2F2" w:val="clear"/>
            <w:tcMar>
              <w:top w:type="dxa" w:w="60"/>
              <w:left w:type="dxa" w:w="100"/>
              <w:bottom w:type="dxa" w:w="60"/>
              <w:right w:type="dxa" w:w="100"/>
            </w:tcMar>
            <w:vAlign w:val="center"/>
          </w:tcPr>
          <w:p>
            <w:pPr>
              <w:jc w:val="center"/>
            </w:pPr>
            <w:r>
              <w:rPr>
                <w:b w:val="false"/>
                <w:bCs w:val="false"/>
                <w:sz w:val="20"/>
                <w:szCs w:val="20"/>
              </w:rPr>
              <w:t xml:space="preserve">$806,431</w:t>
            </w:r>
          </w:p>
        </w:tc>
        <w:tc>
          <w:tcPr>
            <w:tcW w:type="dxa" w:w="1850"/>
            <w:shd w:fill="F2F2F2" w:val="clear"/>
            <w:tcMar>
              <w:top w:type="dxa" w:w="60"/>
              <w:left w:type="dxa" w:w="100"/>
              <w:bottom w:type="dxa" w:w="60"/>
              <w:right w:type="dxa" w:w="100"/>
            </w:tcMar>
            <w:vAlign w:val="center"/>
          </w:tcPr>
          <w:p>
            <w:pPr>
              <w:jc w:val="center"/>
            </w:pPr>
            <w:r>
              <w:rPr>
                <w:b w:val="false"/>
                <w:bCs w:val="false"/>
                <w:sz w:val="20"/>
                <w:szCs w:val="20"/>
              </w:rPr>
              <w:t xml:space="preserve">$82,065</w:t>
            </w:r>
          </w:p>
        </w:tc>
        <w:tc>
          <w:tcPr>
            <w:tcW w:type="dxa" w:w="1400"/>
            <w:shd w:fill="F2F2F2" w:val="clear"/>
            <w:tcMar>
              <w:top w:type="dxa" w:w="60"/>
              <w:left w:type="dxa" w:w="100"/>
              <w:bottom w:type="dxa" w:w="60"/>
              <w:right w:type="dxa" w:w="100"/>
            </w:tcMar>
            <w:vAlign w:val="center"/>
          </w:tcPr>
          <w:p>
            <w:pPr>
              <w:jc w:val="center"/>
            </w:pPr>
            <w:r>
              <w:rPr>
                <w:b w:val="false"/>
                <w:bCs w:val="false"/>
                <w:sz w:val="20"/>
                <w:szCs w:val="20"/>
              </w:rPr>
              <w:t xml:space="preserve">10.0%</w:t>
            </w:r>
          </w:p>
        </w:tc>
        <w:tc>
          <w:tcPr>
            <w:tcW w:type="dxa" w:w="1180"/>
            <w:shd w:fill="F2F2F2" w:val="clear"/>
            <w:tcMar>
              <w:top w:type="dxa" w:w="60"/>
              <w:left w:type="dxa" w:w="100"/>
              <w:bottom w:type="dxa" w:w="60"/>
              <w:right w:type="dxa" w:w="100"/>
            </w:tcMar>
            <w:vAlign w:val="center"/>
          </w:tcPr>
          <w:p>
            <w:pPr>
              <w:jc w:val="center"/>
            </w:pPr>
            <w:r>
              <w:rPr>
                <w:b w:val="false"/>
                <w:bCs w:val="false"/>
                <w:sz w:val="20"/>
                <w:szCs w:val="20"/>
              </w:rPr>
              <w:t xml:space="preserve">784</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Home Office</w:t>
            </w:r>
          </w:p>
        </w:tc>
        <w:tc>
          <w:tcPr>
            <w:tcW w:type="dxa" w:w="1850"/>
            <w:tcMar>
              <w:top w:type="dxa" w:w="60"/>
              <w:left w:type="dxa" w:w="100"/>
              <w:bottom w:type="dxa" w:w="60"/>
              <w:right w:type="dxa" w:w="100"/>
            </w:tcMar>
            <w:vAlign w:val="center"/>
          </w:tcPr>
          <w:p>
            <w:pPr>
              <w:jc w:val="center"/>
            </w:pPr>
            <w:r>
              <w:rPr>
                <w:b w:val="false"/>
                <w:bCs w:val="false"/>
                <w:sz w:val="20"/>
                <w:szCs w:val="20"/>
              </w:rPr>
              <w:t xml:space="preserve">$467,522</w:t>
            </w:r>
          </w:p>
        </w:tc>
        <w:tc>
          <w:tcPr>
            <w:tcW w:type="dxa" w:w="1850"/>
            <w:tcMar>
              <w:top w:type="dxa" w:w="60"/>
              <w:left w:type="dxa" w:w="100"/>
              <w:bottom w:type="dxa" w:w="60"/>
              <w:right w:type="dxa" w:w="100"/>
            </w:tcMar>
            <w:vAlign w:val="center"/>
          </w:tcPr>
          <w:p>
            <w:pPr>
              <w:jc w:val="center"/>
            </w:pPr>
            <w:r>
              <w:rPr>
                <w:b w:val="false"/>
                <w:bCs w:val="false"/>
                <w:sz w:val="20"/>
                <w:szCs w:val="20"/>
              </w:rPr>
              <w:t xml:space="preserve">$51,043</w:t>
            </w:r>
          </w:p>
        </w:tc>
        <w:tc>
          <w:tcPr>
            <w:tcW w:type="dxa" w:w="1400"/>
            <w:tcMar>
              <w:top w:type="dxa" w:w="60"/>
              <w:left w:type="dxa" w:w="100"/>
              <w:bottom w:type="dxa" w:w="60"/>
              <w:right w:type="dxa" w:w="100"/>
            </w:tcMar>
            <w:vAlign w:val="center"/>
          </w:tcPr>
          <w:p>
            <w:pPr>
              <w:jc w:val="center"/>
            </w:pPr>
            <w:r>
              <w:rPr>
                <w:b w:val="false"/>
                <w:bCs w:val="false"/>
                <w:sz w:val="20"/>
                <w:szCs w:val="20"/>
              </w:rPr>
              <w:t xml:space="preserve">11.0%</w:t>
            </w:r>
          </w:p>
        </w:tc>
        <w:tc>
          <w:tcPr>
            <w:tcW w:type="dxa" w:w="1180"/>
            <w:tcMar>
              <w:top w:type="dxa" w:w="60"/>
              <w:left w:type="dxa" w:w="100"/>
              <w:bottom w:type="dxa" w:w="60"/>
              <w:right w:type="dxa" w:w="100"/>
            </w:tcMar>
            <w:vAlign w:val="center"/>
          </w:tcPr>
          <w:p>
            <w:pPr>
              <w:jc w:val="center"/>
            </w:pPr>
            <w:r>
              <w:rPr>
                <w:b w:val="false"/>
                <w:bCs w:val="false"/>
                <w:sz w:val="20"/>
                <w:szCs w:val="20"/>
              </w:rPr>
              <w:t xml:space="preserve">714</w:t>
            </w:r>
          </w:p>
        </w:tc>
      </w:tr>
    </w:tbl>
    <w:p>
      <w:pPr>
        <w:spacing w:after="260" w:before="60"/>
        <w:jc w:val="center"/>
      </w:pPr>
      <w:r>
        <w:rPr>
          <w:i/>
          <w:iCs/>
          <w:color w:val="595959"/>
          <w:sz w:val="19"/>
          <w:szCs w:val="19"/>
        </w:rPr>
        <w:t xml:space="preserve">Table 11. Sales, profit, and margin by customer segment.</w:t>
      </w:r>
    </w:p>
    <w:p>
      <w:pPr>
        <w:spacing w:after="40" w:before="160"/>
        <w:jc w:val="center"/>
      </w:pPr>
      <w:r>
        <w:drawing>
          <wp:inline distT="0" distB="0" distL="0" distR="0">
            <wp:extent cx="4572000" cy="3063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063240"/>
                    </a:xfrm>
                    <a:prstGeom prst="rect">
                      <a:avLst/>
                    </a:prstGeom>
                  </pic:spPr>
                </pic:pic>
              </a:graphicData>
            </a:graphic>
          </wp:inline>
        </w:drawing>
      </w:r>
    </w:p>
    <w:p>
      <w:pPr>
        <w:spacing w:after="260" w:before="60"/>
        <w:jc w:val="center"/>
      </w:pPr>
      <w:r>
        <w:rPr>
          <w:i/>
          <w:iCs/>
          <w:color w:val="595959"/>
          <w:sz w:val="19"/>
          <w:szCs w:val="19"/>
        </w:rPr>
        <w:t xml:space="preserve">Figure 9. Share of total sales by customer segment.</w:t>
      </w:r>
    </w:p>
    <w:p>
      <w:pPr>
        <w:pStyle w:val="Heading2"/>
        <w:spacing w:after="120" w:before="280"/>
      </w:pPr>
      <w:r>
        <w:t xml:space="preserve">5.7 Shipping Mode Analysis</w:t>
      </w:r>
    </w:p>
    <w:p>
      <w:pPr>
        <w:spacing w:after="160" w:line="276"/>
      </w:pPr>
      <w:r>
        <w:t xml:space="preserve">Standard Class is by far the most-used shipping method, consistent with cost-conscious default fulfillment; faster tiers (First Class, Same Day) are used selectively, presumably for time-sensitive or premium orders.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78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20"/>
                <w:szCs w:val="20"/>
              </w:rPr>
              <w:t xml:space="preserve">Ship Mode</w:t>
            </w:r>
          </w:p>
        </w:tc>
        <w:tc>
          <w:tcPr>
            <w:tcW w:type="dxa" w:w="2400"/>
            <w:shd w:fill="1F3864" w:val="clear"/>
            <w:tcMar>
              <w:top w:type="dxa" w:w="60"/>
              <w:left w:type="dxa" w:w="100"/>
              <w:bottom w:type="dxa" w:w="60"/>
              <w:right w:type="dxa" w:w="100"/>
            </w:tcMar>
            <w:vAlign w:val="center"/>
          </w:tcPr>
          <w:p>
            <w:pPr>
              <w:jc w:val="center"/>
            </w:pPr>
            <w:r>
              <w:rPr>
                <w:b/>
                <w:bCs/>
                <w:color w:val="FFFFFF"/>
                <w:sz w:val="20"/>
                <w:szCs w:val="20"/>
              </w:rPr>
              <w:t xml:space="preserve">Sales</w:t>
            </w:r>
          </w:p>
        </w:tc>
        <w:tc>
          <w:tcPr>
            <w:tcW w:type="dxa" w:w="2400"/>
            <w:shd w:fill="1F3864" w:val="clear"/>
            <w:tcMar>
              <w:top w:type="dxa" w:w="60"/>
              <w:left w:type="dxa" w:w="100"/>
              <w:bottom w:type="dxa" w:w="60"/>
              <w:right w:type="dxa" w:w="100"/>
            </w:tcMar>
            <w:vAlign w:val="center"/>
          </w:tcPr>
          <w:p>
            <w:pPr>
              <w:jc w:val="center"/>
            </w:pPr>
            <w:r>
              <w:rPr>
                <w:b/>
                <w:bCs/>
                <w:color w:val="FFFFFF"/>
                <w:sz w:val="20"/>
                <w:szCs w:val="20"/>
              </w:rPr>
              <w:t xml:space="preserve">Avg. Days to Ship</w:t>
            </w:r>
          </w:p>
        </w:tc>
        <w:tc>
          <w:tcPr>
            <w:tcW w:type="dxa" w:w="1780"/>
            <w:shd w:fill="1F3864" w:val="clear"/>
            <w:tcMar>
              <w:top w:type="dxa" w:w="60"/>
              <w:left w:type="dxa" w:w="100"/>
              <w:bottom w:type="dxa" w:w="60"/>
              <w:right w:type="dxa" w:w="100"/>
            </w:tcMar>
            <w:vAlign w:val="center"/>
          </w:tcPr>
          <w:p>
            <w:pPr>
              <w:jc w:val="center"/>
            </w:pPr>
            <w:r>
              <w:rPr>
                <w:b/>
                <w:bCs/>
                <w:color w:val="FFFFFF"/>
                <w:sz w:val="20"/>
                <w:szCs w:val="20"/>
              </w:rPr>
              <w:t xml:space="preserve">Line Items</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Standard Class</w:t>
            </w:r>
          </w:p>
        </w:tc>
        <w:tc>
          <w:tcPr>
            <w:tcW w:type="dxa" w:w="2400"/>
            <w:tcMar>
              <w:top w:type="dxa" w:w="60"/>
              <w:left w:type="dxa" w:w="100"/>
              <w:bottom w:type="dxa" w:w="60"/>
              <w:right w:type="dxa" w:w="100"/>
            </w:tcMar>
            <w:vAlign w:val="center"/>
          </w:tcPr>
          <w:p>
            <w:pPr>
              <w:jc w:val="center"/>
            </w:pPr>
            <w:r>
              <w:rPr>
                <w:b w:val="false"/>
                <w:bCs w:val="false"/>
                <w:sz w:val="20"/>
                <w:szCs w:val="20"/>
              </w:rPr>
              <w:t xml:space="preserve">$1,586,755</w:t>
            </w:r>
          </w:p>
        </w:tc>
        <w:tc>
          <w:tcPr>
            <w:tcW w:type="dxa" w:w="2400"/>
            <w:tcMar>
              <w:top w:type="dxa" w:w="60"/>
              <w:left w:type="dxa" w:w="100"/>
              <w:bottom w:type="dxa" w:w="60"/>
              <w:right w:type="dxa" w:w="100"/>
            </w:tcMar>
            <w:vAlign w:val="center"/>
          </w:tcPr>
          <w:p>
            <w:pPr>
              <w:jc w:val="center"/>
            </w:pPr>
            <w:r>
              <w:rPr>
                <w:b w:val="false"/>
                <w:bCs w:val="false"/>
                <w:sz w:val="20"/>
                <w:szCs w:val="20"/>
              </w:rPr>
              <w:t xml:space="preserve">5.5</w:t>
            </w:r>
          </w:p>
        </w:tc>
        <w:tc>
          <w:tcPr>
            <w:tcW w:type="dxa" w:w="1780"/>
            <w:tcMar>
              <w:top w:type="dxa" w:w="60"/>
              <w:left w:type="dxa" w:w="100"/>
              <w:bottom w:type="dxa" w:w="60"/>
              <w:right w:type="dxa" w:w="100"/>
            </w:tcMar>
            <w:vAlign w:val="center"/>
          </w:tcPr>
          <w:p>
            <w:pPr>
              <w:jc w:val="center"/>
            </w:pPr>
            <w:r>
              <w:rPr>
                <w:b w:val="false"/>
                <w:bCs w:val="false"/>
                <w:sz w:val="20"/>
                <w:szCs w:val="20"/>
              </w:rPr>
              <w:t xml:space="preserve">6,023</w:t>
            </w:r>
          </w:p>
        </w:tc>
      </w:tr>
      <w:tr>
        <w:tc>
          <w:tcPr>
            <w:tcW w:type="dxa" w:w="2600"/>
            <w:shd w:fill="F2F2F2" w:val="clear"/>
            <w:tcMar>
              <w:top w:type="dxa" w:w="60"/>
              <w:left w:type="dxa" w:w="100"/>
              <w:bottom w:type="dxa" w:w="60"/>
              <w:right w:type="dxa" w:w="100"/>
            </w:tcMar>
            <w:vAlign w:val="center"/>
          </w:tcPr>
          <w:p>
            <w:pPr>
              <w:jc w:val="left"/>
            </w:pPr>
            <w:r>
              <w:rPr>
                <w:b w:val="false"/>
                <w:bCs w:val="false"/>
                <w:sz w:val="20"/>
                <w:szCs w:val="20"/>
              </w:rPr>
              <w:t xml:space="preserve">Second Class</w:t>
            </w:r>
          </w:p>
        </w:tc>
        <w:tc>
          <w:tcPr>
            <w:tcW w:type="dxa" w:w="2400"/>
            <w:shd w:fill="F2F2F2" w:val="clear"/>
            <w:tcMar>
              <w:top w:type="dxa" w:w="60"/>
              <w:left w:type="dxa" w:w="100"/>
              <w:bottom w:type="dxa" w:w="60"/>
              <w:right w:type="dxa" w:w="100"/>
            </w:tcMar>
            <w:vAlign w:val="center"/>
          </w:tcPr>
          <w:p>
            <w:pPr>
              <w:jc w:val="center"/>
            </w:pPr>
            <w:r>
              <w:rPr>
                <w:b w:val="false"/>
                <w:bCs w:val="false"/>
                <w:sz w:val="20"/>
                <w:szCs w:val="20"/>
              </w:rPr>
              <w:t xml:space="preserve">$513,287</w:t>
            </w:r>
          </w:p>
        </w:tc>
        <w:tc>
          <w:tcPr>
            <w:tcW w:type="dxa" w:w="2400"/>
            <w:shd w:fill="F2F2F2" w:val="clear"/>
            <w:tcMar>
              <w:top w:type="dxa" w:w="60"/>
              <w:left w:type="dxa" w:w="100"/>
              <w:bottom w:type="dxa" w:w="60"/>
              <w:right w:type="dxa" w:w="100"/>
            </w:tcMar>
            <w:vAlign w:val="center"/>
          </w:tcPr>
          <w:p>
            <w:pPr>
              <w:jc w:val="center"/>
            </w:pPr>
            <w:r>
              <w:rPr>
                <w:b w:val="false"/>
                <w:bCs w:val="false"/>
                <w:sz w:val="20"/>
                <w:szCs w:val="20"/>
              </w:rPr>
              <w:t xml:space="preserve">3.5</w:t>
            </w:r>
          </w:p>
        </w:tc>
        <w:tc>
          <w:tcPr>
            <w:tcW w:type="dxa" w:w="1780"/>
            <w:shd w:fill="F2F2F2" w:val="clear"/>
            <w:tcMar>
              <w:top w:type="dxa" w:w="60"/>
              <w:left w:type="dxa" w:w="100"/>
              <w:bottom w:type="dxa" w:w="60"/>
              <w:right w:type="dxa" w:w="100"/>
            </w:tcMar>
            <w:vAlign w:val="center"/>
          </w:tcPr>
          <w:p>
            <w:pPr>
              <w:jc w:val="center"/>
            </w:pPr>
            <w:r>
              <w:rPr>
                <w:b w:val="false"/>
                <w:bCs w:val="false"/>
                <w:sz w:val="20"/>
                <w:szCs w:val="20"/>
              </w:rPr>
              <w:t xml:space="preserve">1,889</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First Class</w:t>
            </w:r>
          </w:p>
        </w:tc>
        <w:tc>
          <w:tcPr>
            <w:tcW w:type="dxa" w:w="2400"/>
            <w:tcMar>
              <w:top w:type="dxa" w:w="60"/>
              <w:left w:type="dxa" w:w="100"/>
              <w:bottom w:type="dxa" w:w="60"/>
              <w:right w:type="dxa" w:w="100"/>
            </w:tcMar>
            <w:vAlign w:val="center"/>
          </w:tcPr>
          <w:p>
            <w:pPr>
              <w:jc w:val="center"/>
            </w:pPr>
            <w:r>
              <w:rPr>
                <w:b w:val="false"/>
                <w:bCs w:val="false"/>
                <w:sz w:val="20"/>
                <w:szCs w:val="20"/>
              </w:rPr>
              <w:t xml:space="preserve">$393,229</w:t>
            </w:r>
          </w:p>
        </w:tc>
        <w:tc>
          <w:tcPr>
            <w:tcW w:type="dxa" w:w="2400"/>
            <w:tcMar>
              <w:top w:type="dxa" w:w="60"/>
              <w:left w:type="dxa" w:w="100"/>
              <w:bottom w:type="dxa" w:w="60"/>
              <w:right w:type="dxa" w:w="100"/>
            </w:tcMar>
            <w:vAlign w:val="center"/>
          </w:tcPr>
          <w:p>
            <w:pPr>
              <w:jc w:val="center"/>
            </w:pPr>
            <w:r>
              <w:rPr>
                <w:b w:val="false"/>
                <w:bCs w:val="false"/>
                <w:sz w:val="20"/>
                <w:szCs w:val="20"/>
              </w:rPr>
              <w:t xml:space="preserve">1.5</w:t>
            </w:r>
          </w:p>
        </w:tc>
        <w:tc>
          <w:tcPr>
            <w:tcW w:type="dxa" w:w="1780"/>
            <w:tcMar>
              <w:top w:type="dxa" w:w="60"/>
              <w:left w:type="dxa" w:w="100"/>
              <w:bottom w:type="dxa" w:w="60"/>
              <w:right w:type="dxa" w:w="100"/>
            </w:tcMar>
            <w:vAlign w:val="center"/>
          </w:tcPr>
          <w:p>
            <w:pPr>
              <w:jc w:val="center"/>
            </w:pPr>
            <w:r>
              <w:rPr>
                <w:b w:val="false"/>
                <w:bCs w:val="false"/>
                <w:sz w:val="20"/>
                <w:szCs w:val="20"/>
              </w:rPr>
              <w:t xml:space="preserve">1,477</w:t>
            </w:r>
          </w:p>
        </w:tc>
      </w:tr>
      <w:tr>
        <w:tc>
          <w:tcPr>
            <w:tcW w:type="dxa" w:w="2600"/>
            <w:shd w:fill="F2F2F2" w:val="clear"/>
            <w:tcMar>
              <w:top w:type="dxa" w:w="60"/>
              <w:left w:type="dxa" w:w="100"/>
              <w:bottom w:type="dxa" w:w="60"/>
              <w:right w:type="dxa" w:w="100"/>
            </w:tcMar>
            <w:vAlign w:val="center"/>
          </w:tcPr>
          <w:p>
            <w:pPr>
              <w:jc w:val="left"/>
            </w:pPr>
            <w:r>
              <w:rPr>
                <w:b w:val="false"/>
                <w:bCs w:val="false"/>
                <w:sz w:val="20"/>
                <w:szCs w:val="20"/>
              </w:rPr>
              <w:t xml:space="preserve">Same Day</w:t>
            </w:r>
          </w:p>
        </w:tc>
        <w:tc>
          <w:tcPr>
            <w:tcW w:type="dxa" w:w="2400"/>
            <w:shd w:fill="F2F2F2" w:val="clear"/>
            <w:tcMar>
              <w:top w:type="dxa" w:w="60"/>
              <w:left w:type="dxa" w:w="100"/>
              <w:bottom w:type="dxa" w:w="60"/>
              <w:right w:type="dxa" w:w="100"/>
            </w:tcMar>
            <w:vAlign w:val="center"/>
          </w:tcPr>
          <w:p>
            <w:pPr>
              <w:jc w:val="center"/>
            </w:pPr>
            <w:r>
              <w:rPr>
                <w:b w:val="false"/>
                <w:bCs w:val="false"/>
                <w:sz w:val="20"/>
                <w:szCs w:val="20"/>
              </w:rPr>
              <w:t xml:space="preserve">$139,857</w:t>
            </w:r>
          </w:p>
        </w:tc>
        <w:tc>
          <w:tcPr>
            <w:tcW w:type="dxa" w:w="2400"/>
            <w:shd w:fill="F2F2F2" w:val="clear"/>
            <w:tcMar>
              <w:top w:type="dxa" w:w="60"/>
              <w:left w:type="dxa" w:w="100"/>
              <w:bottom w:type="dxa" w:w="60"/>
              <w:right w:type="dxa" w:w="100"/>
            </w:tcMar>
            <w:vAlign w:val="center"/>
          </w:tcPr>
          <w:p>
            <w:pPr>
              <w:jc w:val="center"/>
            </w:pPr>
            <w:r>
              <w:rPr>
                <w:b w:val="false"/>
                <w:bCs w:val="false"/>
                <w:sz w:val="20"/>
                <w:szCs w:val="20"/>
              </w:rPr>
              <w:t xml:space="preserve">0.0</w:t>
            </w:r>
          </w:p>
        </w:tc>
        <w:tc>
          <w:tcPr>
            <w:tcW w:type="dxa" w:w="1780"/>
            <w:shd w:fill="F2F2F2" w:val="clear"/>
            <w:tcMar>
              <w:top w:type="dxa" w:w="60"/>
              <w:left w:type="dxa" w:w="100"/>
              <w:bottom w:type="dxa" w:w="60"/>
              <w:right w:type="dxa" w:w="100"/>
            </w:tcMar>
            <w:vAlign w:val="center"/>
          </w:tcPr>
          <w:p>
            <w:pPr>
              <w:jc w:val="center"/>
            </w:pPr>
            <w:r>
              <w:rPr>
                <w:b w:val="false"/>
                <w:bCs w:val="false"/>
                <w:sz w:val="20"/>
                <w:szCs w:val="20"/>
              </w:rPr>
              <w:t xml:space="preserve">605</w:t>
            </w:r>
          </w:p>
        </w:tc>
      </w:tr>
    </w:tbl>
    <w:p>
      <w:pPr>
        <w:spacing w:after="260" w:before="60"/>
        <w:jc w:val="center"/>
      </w:pPr>
      <w:r>
        <w:rPr>
          <w:i/>
          <w:iCs/>
          <w:color w:val="595959"/>
          <w:sz w:val="19"/>
          <w:szCs w:val="19"/>
        </w:rPr>
        <w:t xml:space="preserve">Table 12. Sales volume and average fulfillment time by shipping mode.</w:t>
      </w:r>
    </w:p>
    <w:p>
      <w:pPr>
        <w:pStyle w:val="Heading2"/>
        <w:spacing w:after="120" w:before="280"/>
      </w:pPr>
      <w:r>
        <w:t xml:space="preserve">5.8 Correlation Analysis</w:t>
      </w:r>
    </w:p>
    <w:p>
      <w:pPr>
        <w:spacing w:after="160" w:line="276"/>
      </w:pPr>
      <w:r>
        <w:t xml:space="preserve">A correlation matrix across the four core numeric fields confirms the discount-profit relationship quantitatively and shows Sales and Profit are only moderately correlated — high sales volume does not guarantee high profit, reinforcing the need to manage profitability at the sub-category and discount-policy level rather than by revenue alone.</w:t>
      </w:r>
    </w:p>
    <w:p>
      <w:pPr>
        <w:spacing w:after="40" w:before="160"/>
        <w:jc w:val="center"/>
      </w:pPr>
      <w:r>
        <w:drawing>
          <wp:inline distT="0" distB="0" distL="0" distR="0">
            <wp:extent cx="4206240" cy="3703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06240" cy="3703320"/>
                    </a:xfrm>
                    <a:prstGeom prst="rect">
                      <a:avLst/>
                    </a:prstGeom>
                  </pic:spPr>
                </pic:pic>
              </a:graphicData>
            </a:graphic>
          </wp:inline>
        </w:drawing>
      </w:r>
    </w:p>
    <w:p>
      <w:pPr>
        <w:spacing w:after="260" w:before="60"/>
        <w:jc w:val="center"/>
      </w:pPr>
      <w:r>
        <w:rPr>
          <w:i/>
          <w:iCs/>
          <w:color w:val="595959"/>
          <w:sz w:val="19"/>
          <w:szCs w:val="19"/>
        </w:rPr>
        <w:t xml:space="preserve">Figure 10. Correlation matrix of Sales, Quantity, Discount, and Profit.</w:t>
      </w:r>
    </w:p>
    <w:p>
      <w:pPr>
        <w:pStyle w:val="Heading2"/>
        <w:spacing w:after="120" w:before="280"/>
      </w:pPr>
      <w:r>
        <w:t xml:space="preserve">5.9 Outlier Detection</w:t>
      </w:r>
    </w:p>
    <w:p>
      <w:pPr>
        <w:spacing w:after="160" w:line="276"/>
      </w:pPr>
      <w:r>
        <w:t xml:space="preserve">Using the standard interquartile-range (IQR) rule on Profit (1.5×IQR beyond Q1/Q3), 1,630 line items (16.3% of all rows) are flagged as statistical outliers — a mix of unusually large profitable orders and unusually large losses. The boxplot below shows these outliers are concentrated in Technology and Furniture, the two categories with the widest unit-price range.</w:t>
      </w:r>
    </w:p>
    <w:p>
      <w:pPr>
        <w:spacing w:after="40" w:before="160"/>
        <w:jc w:val="center"/>
      </w:pPr>
      <w:r>
        <w:drawing>
          <wp:inline distT="0" distB="0" distL="0" distR="0">
            <wp:extent cx="566928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9280" cy="3429000"/>
                    </a:xfrm>
                    <a:prstGeom prst="rect">
                      <a:avLst/>
                    </a:prstGeom>
                  </pic:spPr>
                </pic:pic>
              </a:graphicData>
            </a:graphic>
          </wp:inline>
        </w:drawing>
      </w:r>
    </w:p>
    <w:p>
      <w:pPr>
        <w:spacing w:after="260" w:before="60"/>
        <w:jc w:val="center"/>
      </w:pPr>
      <w:r>
        <w:rPr>
          <w:i/>
          <w:iCs/>
          <w:color w:val="595959"/>
          <w:sz w:val="19"/>
          <w:szCs w:val="19"/>
        </w:rPr>
        <w:t xml:space="preserve">Figure 11. Profit distribution and outliers by category. Furniture shows the widest spread of losses.</w:t>
      </w:r>
    </w:p>
    <w:p>
      <w:pPr>
        <w:pStyle w:val="Heading2"/>
        <w:spacing w:after="120" w:before="280"/>
      </w:pPr>
      <w:r>
        <w:t xml:space="preserve">5.10 Customer Concentration (Pareto Analysis)</w:t>
      </w:r>
    </w:p>
    <w:p>
      <w:pPr>
        <w:spacing w:after="160" w:line="276"/>
      </w:pPr>
      <w:r>
        <w:t xml:space="preserve">Ranking customers by total spend and plotting the cumulative share of revenue shows meaningful — though not extreme — concentration: the top 20% of customers account for roughly 40.4% of total sales, short of a textbook 80/20 split but still enough to justify a dedicated key-account retention strategy for the top tier.</w:t>
      </w:r>
    </w:p>
    <w:p>
      <w:pPr>
        <w:spacing w:after="40" w:before="160"/>
        <w:jc w:val="center"/>
      </w:pPr>
      <w:r>
        <w:drawing>
          <wp:inline distT="0" distB="0" distL="0" distR="0">
            <wp:extent cx="548640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108960"/>
                    </a:xfrm>
                    <a:prstGeom prst="rect">
                      <a:avLst/>
                    </a:prstGeom>
                  </pic:spPr>
                </pic:pic>
              </a:graphicData>
            </a:graphic>
          </wp:inline>
        </w:drawing>
      </w:r>
    </w:p>
    <w:p>
      <w:pPr>
        <w:spacing w:after="260" w:before="60"/>
        <w:jc w:val="center"/>
      </w:pPr>
      <w:r>
        <w:rPr>
          <w:i/>
          <w:iCs/>
          <w:color w:val="595959"/>
          <w:sz w:val="19"/>
          <w:szCs w:val="19"/>
        </w:rPr>
        <w:t xml:space="preserve">Figure 12. Cumulative share of sales by customer, ranked highest-to-lowest spend.</w:t>
      </w:r>
    </w:p>
    <w:p>
      <w:pPr>
        <w:pStyle w:val="Heading1"/>
        <w:spacing w:after="160" w:before="360"/>
      </w:pPr>
      <w:r>
        <w:t xml:space="preserve">6. Key Insights Summary</w:t>
      </w:r>
    </w:p>
    <w:p>
      <w:pPr>
        <w:pStyle w:val="ListParagraph"/>
        <w:numPr>
          <w:ilvl w:val="0"/>
          <w:numId w:val="1"/>
        </w:numPr>
        <w:spacing w:after="90" w:line="268"/>
      </w:pPr>
      <w:r>
        <w:t xml:space="preserve">Discounting above ~30% is the clearest lever on profitability in the dataset — margins flip from solidly positive to negative almost exactly at that threshold, independent of category.</w:t>
      </w:r>
    </w:p>
    <w:p>
      <w:pPr>
        <w:pStyle w:val="ListParagraph"/>
        <w:numPr>
          <w:ilvl w:val="0"/>
          <w:numId w:val="1"/>
        </w:numPr>
        <w:spacing w:after="90" w:line="268"/>
      </w:pPr>
      <w:r>
        <w:t xml:space="preserve">Two sub-categories — Machines and Tables — are structurally unprofitable despite strong sales, together accounting for roughly $(28.2K) and $(19.6K) in losses; both warrant a pricing/discount cap review rather than a sales-volume push.</w:t>
      </w:r>
    </w:p>
    <w:p>
      <w:pPr>
        <w:pStyle w:val="ListParagraph"/>
        <w:numPr>
          <w:ilvl w:val="0"/>
          <w:numId w:val="1"/>
        </w:numPr>
        <w:spacing w:after="90" w:line="268"/>
      </w:pPr>
      <w:r>
        <w:t xml:space="preserve">Technology drives the most profit and Office Supplies the best margin, while Furniture is the weakest category relative to its sales size.</w:t>
      </w:r>
    </w:p>
    <w:p>
      <w:pPr>
        <w:pStyle w:val="ListParagraph"/>
        <w:numPr>
          <w:ilvl w:val="0"/>
          <w:numId w:val="1"/>
        </w:numPr>
        <w:spacing w:after="90" w:line="268"/>
      </w:pPr>
      <w:r>
        <w:t xml:space="preserve">December is a clear seasonal peak; inventory, staffing, and promotional planning should be weighted toward Q4.</w:t>
      </w:r>
    </w:p>
    <w:p>
      <w:pPr>
        <w:pStyle w:val="ListParagraph"/>
        <w:numPr>
          <w:ilvl w:val="0"/>
          <w:numId w:val="1"/>
        </w:numPr>
        <w:spacing w:after="90" w:line="268"/>
      </w:pPr>
      <w:r>
        <w:t xml:space="preserve">The West region leads on both revenue and margin; Central and South regions have comparatively thinner margins worth investigating for regional discounting practices.</w:t>
      </w:r>
    </w:p>
    <w:p>
      <w:pPr>
        <w:pStyle w:val="ListParagraph"/>
        <w:numPr>
          <w:ilvl w:val="0"/>
          <w:numId w:val="1"/>
        </w:numPr>
        <w:spacing w:after="90" w:line="268"/>
      </w:pPr>
      <w:r>
        <w:t xml:space="preserve">Customer segments perform similarly on margin, suggesting profitability issues are product- and discount-driven rather than segment-driven.</w:t>
      </w:r>
    </w:p>
    <w:p>
      <w:pPr>
        <w:pStyle w:val="ListParagraph"/>
        <w:numPr>
          <w:ilvl w:val="0"/>
          <w:numId w:val="1"/>
        </w:numPr>
        <w:spacing w:after="90" w:line="268"/>
      </w:pPr>
      <w:r>
        <w:t xml:space="preserve">Revenue is moderately concentrated: the top 20% of customers generate about 40.4% of sales, supporting a tiered account-management approach.</w:t>
      </w:r>
    </w:p>
    <w:p>
      <w:pPr>
        <w:pStyle w:val="ListParagraph"/>
        <w:numPr>
          <w:ilvl w:val="0"/>
          <w:numId w:val="1"/>
        </w:numPr>
        <w:spacing w:after="90" w:line="268"/>
      </w:pPr>
      <w:r>
        <w:t xml:space="preserve">Standard Class shipping dominates order volume; the trade-off between shipping cost and delivery speed by segment is a candidate for further study.</w:t>
      </w:r>
    </w:p>
    <w:p>
      <w:pPr>
        <w:pStyle w:val="Heading1"/>
        <w:spacing w:after="160" w:before="360"/>
      </w:pPr>
      <w:r>
        <w:t xml:space="preserve">7. Recommended Tableau Dashboard Design</w:t>
      </w:r>
    </w:p>
    <w:p>
      <w:pPr>
        <w:spacing w:after="160" w:line="276"/>
      </w:pPr>
      <w:r>
        <w:t xml:space="preserve">Each analytical view above maps directly to a Tableau sheet. The table below specifies exactly how to reproduce it inside Tableau — which fields go on which shelf, the mark type, and any calculated fields needed — so this Python-based exploration can be rebuilt as a live, filterable Tableau workbook.</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600"/>
        <w:gridCol w:w="698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20"/>
                <w:szCs w:val="20"/>
              </w:rPr>
              <w:t xml:space="preserve">Dashboard View</w:t>
            </w:r>
          </w:p>
        </w:tc>
        <w:tc>
          <w:tcPr>
            <w:tcW w:type="dxa" w:w="6980"/>
            <w:shd w:fill="1F3864" w:val="clear"/>
            <w:tcMar>
              <w:top w:type="dxa" w:w="60"/>
              <w:left w:type="dxa" w:w="100"/>
              <w:bottom w:type="dxa" w:w="60"/>
              <w:right w:type="dxa" w:w="100"/>
            </w:tcMar>
            <w:vAlign w:val="center"/>
          </w:tcPr>
          <w:p>
            <w:pPr>
              <w:jc w:val="center"/>
            </w:pPr>
            <w:r>
              <w:rPr>
                <w:b/>
                <w:bCs/>
                <w:color w:val="FFFFFF"/>
                <w:sz w:val="20"/>
                <w:szCs w:val="20"/>
              </w:rPr>
              <w:t xml:space="preserve">Tableau Build (Shelves / Marks / Calc Fields)</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Category &amp; Sub-Category Profit (Fig. 1–2)</w:t>
            </w:r>
          </w:p>
        </w:tc>
        <w:tc>
          <w:tcPr>
            <w:tcW w:type="dxa" w:w="6980"/>
            <w:tcMar>
              <w:top w:type="dxa" w:w="60"/>
              <w:left w:type="dxa" w:w="100"/>
              <w:bottom w:type="dxa" w:w="60"/>
              <w:right w:type="dxa" w:w="100"/>
            </w:tcMar>
            <w:vAlign w:val="center"/>
          </w:tcPr>
          <w:p>
            <w:pPr>
              <w:jc w:val="center"/>
            </w:pPr>
            <w:r>
              <w:rPr>
                <w:b w:val="false"/>
                <w:bCs w:val="false"/>
                <w:sz w:val="20"/>
                <w:szCs w:val="20"/>
              </w:rPr>
              <w:t xml:space="preserve">Rows: Sub-Category (sorted by Profit); Columns: SUM(Profit); Mark: Bar; Color: [Profit] &lt; 0 (calculated field) for red/green split; add SUM(Sales) as a dual-axis or tooltip measure.</w:t>
            </w:r>
          </w:p>
        </w:tc>
      </w:tr>
      <w:tr>
        <w:tc>
          <w:tcPr>
            <w:tcW w:type="dxa" w:w="2600"/>
            <w:shd w:fill="F2F2F2" w:val="clear"/>
            <w:tcMar>
              <w:top w:type="dxa" w:w="60"/>
              <w:left w:type="dxa" w:w="100"/>
              <w:bottom w:type="dxa" w:w="60"/>
              <w:right w:type="dxa" w:w="100"/>
            </w:tcMar>
            <w:vAlign w:val="center"/>
          </w:tcPr>
          <w:p>
            <w:pPr>
              <w:jc w:val="left"/>
            </w:pPr>
            <w:r>
              <w:rPr>
                <w:b w:val="false"/>
                <w:bCs w:val="false"/>
                <w:sz w:val="20"/>
                <w:szCs w:val="20"/>
              </w:rPr>
              <w:t xml:space="preserve">Monthly Trend (Fig. 3)</w:t>
            </w:r>
          </w:p>
        </w:tc>
        <w:tc>
          <w:tcPr>
            <w:tcW w:type="dxa" w:w="6980"/>
            <w:shd w:fill="F2F2F2" w:val="clear"/>
            <w:tcMar>
              <w:top w:type="dxa" w:w="60"/>
              <w:left w:type="dxa" w:w="100"/>
              <w:bottom w:type="dxa" w:w="60"/>
              <w:right w:type="dxa" w:w="100"/>
            </w:tcMar>
            <w:vAlign w:val="center"/>
          </w:tcPr>
          <w:p>
            <w:pPr>
              <w:jc w:val="center"/>
            </w:pPr>
            <w:r>
              <w:rPr>
                <w:b w:val="false"/>
                <w:bCs w:val="false"/>
                <w:sz w:val="20"/>
                <w:szCs w:val="20"/>
              </w:rPr>
              <w:t xml:space="preserve">Columns: MONTH(Order Date), continuous; Rows: SUM(Sales) and SUM(Profit) as a dual-axis line chart; synchronize axes off; Mark: Line.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Seasonality (Fig. 4)</w:t>
            </w:r>
          </w:p>
        </w:tc>
        <w:tc>
          <w:tcPr>
            <w:tcW w:type="dxa" w:w="6980"/>
            <w:tcMar>
              <w:top w:type="dxa" w:w="60"/>
              <w:left w:type="dxa" w:w="100"/>
              <w:bottom w:type="dxa" w:w="60"/>
              <w:right w:type="dxa" w:w="100"/>
            </w:tcMar>
            <w:vAlign w:val="center"/>
          </w:tcPr>
          <w:p>
            <w:pPr>
              <w:jc w:val="center"/>
            </w:pPr>
            <w:r>
              <w:rPr>
                <w:b w:val="false"/>
                <w:bCs w:val="false"/>
                <w:sz w:val="20"/>
                <w:szCs w:val="20"/>
              </w:rPr>
              <w:t xml:space="preserve">Columns: MONTH(Order Date), discrete (part-of-date); Rows: SUM(Sales); Mark: Bar. Use a discrete date part so all four years combine into one 12-bar view.</w:t>
            </w:r>
          </w:p>
        </w:tc>
      </w:tr>
      <w:tr>
        <w:tc>
          <w:tcPr>
            <w:tcW w:type="dxa" w:w="2600"/>
            <w:shd w:fill="F2F2F2" w:val="clear"/>
            <w:tcMar>
              <w:top w:type="dxa" w:w="60"/>
              <w:left w:type="dxa" w:w="100"/>
              <w:bottom w:type="dxa" w:w="60"/>
              <w:right w:type="dxa" w:w="100"/>
            </w:tcMar>
            <w:vAlign w:val="center"/>
          </w:tcPr>
          <w:p>
            <w:pPr>
              <w:jc w:val="left"/>
            </w:pPr>
            <w:r>
              <w:rPr>
                <w:b w:val="false"/>
                <w:bCs w:val="false"/>
                <w:sz w:val="20"/>
                <w:szCs w:val="20"/>
              </w:rPr>
              <w:t xml:space="preserve">Regional Sales &amp; Margin (Fig. 5–6)</w:t>
            </w:r>
          </w:p>
        </w:tc>
        <w:tc>
          <w:tcPr>
            <w:tcW w:type="dxa" w:w="6980"/>
            <w:shd w:fill="F2F2F2" w:val="clear"/>
            <w:tcMar>
              <w:top w:type="dxa" w:w="60"/>
              <w:left w:type="dxa" w:w="100"/>
              <w:bottom w:type="dxa" w:w="60"/>
              <w:right w:type="dxa" w:w="100"/>
            </w:tcMar>
            <w:vAlign w:val="center"/>
          </w:tcPr>
          <w:p>
            <w:pPr>
              <w:jc w:val="center"/>
            </w:pPr>
            <w:r>
              <w:rPr>
                <w:b w:val="false"/>
                <w:bCs w:val="false"/>
                <w:sz w:val="20"/>
                <w:szCs w:val="20"/>
              </w:rPr>
              <w:t xml:space="preserve">Rows: Region or State; Columns: SUM(Sales); Mark: Bar; Label: Calculated field [Profit Margin] = SUM(Profit)/SUM(Sales), formatted as %; consider a filled map with State on the Detail shelf and Profit Margin on Color.</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Discount vs. Profit (Fig. 7–8)</w:t>
            </w:r>
          </w:p>
        </w:tc>
        <w:tc>
          <w:tcPr>
            <w:tcW w:type="dxa" w:w="6980"/>
            <w:tcMar>
              <w:top w:type="dxa" w:w="60"/>
              <w:left w:type="dxa" w:w="100"/>
              <w:bottom w:type="dxa" w:w="60"/>
              <w:right w:type="dxa" w:w="100"/>
            </w:tcMar>
            <w:vAlign w:val="center"/>
          </w:tcPr>
          <w:p>
            <w:pPr>
              <w:jc w:val="center"/>
            </w:pPr>
            <w:r>
              <w:rPr>
                <w:b w:val="false"/>
                <w:bCs w:val="false"/>
                <w:sz w:val="20"/>
                <w:szCs w:val="20"/>
              </w:rPr>
              <w:t xml:space="preserve">Columns: Discount; Rows: SUM(Profit) or Profit (line-item); Mark: Circle for the scatter, Bar for the binned view; create a calculated field [Discount Band] using an IF/ELSEIF bucket, then place it on Columns for the banded bar chart.</w:t>
            </w:r>
          </w:p>
        </w:tc>
      </w:tr>
      <w:tr>
        <w:tc>
          <w:tcPr>
            <w:tcW w:type="dxa" w:w="2600"/>
            <w:shd w:fill="F2F2F2" w:val="clear"/>
            <w:tcMar>
              <w:top w:type="dxa" w:w="60"/>
              <w:left w:type="dxa" w:w="100"/>
              <w:bottom w:type="dxa" w:w="60"/>
              <w:right w:type="dxa" w:w="100"/>
            </w:tcMar>
            <w:vAlign w:val="center"/>
          </w:tcPr>
          <w:p>
            <w:pPr>
              <w:jc w:val="left"/>
            </w:pPr>
            <w:r>
              <w:rPr>
                <w:b w:val="false"/>
                <w:bCs w:val="false"/>
                <w:sz w:val="20"/>
                <w:szCs w:val="20"/>
              </w:rPr>
              <w:t xml:space="preserve">Segment Mix (Fig. 9)</w:t>
            </w:r>
          </w:p>
        </w:tc>
        <w:tc>
          <w:tcPr>
            <w:tcW w:type="dxa" w:w="6980"/>
            <w:shd w:fill="F2F2F2" w:val="clear"/>
            <w:tcMar>
              <w:top w:type="dxa" w:w="60"/>
              <w:left w:type="dxa" w:w="100"/>
              <w:bottom w:type="dxa" w:w="60"/>
              <w:right w:type="dxa" w:w="100"/>
            </w:tcMar>
            <w:vAlign w:val="center"/>
          </w:tcPr>
          <w:p>
            <w:pPr>
              <w:jc w:val="center"/>
            </w:pPr>
            <w:r>
              <w:rPr>
                <w:b w:val="false"/>
                <w:bCs w:val="false"/>
                <w:sz w:val="20"/>
                <w:szCs w:val="20"/>
              </w:rPr>
              <w:t xml:space="preserve">Rows/Angle: SUM(Sales); Color: Segment; Mark: Pie (or, for a cleaner Tableau-native alternative, a 100% stacked bar).</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Correlation Heatmap (Fig. 10)</w:t>
            </w:r>
          </w:p>
        </w:tc>
        <w:tc>
          <w:tcPr>
            <w:tcW w:type="dxa" w:w="6980"/>
            <w:tcMar>
              <w:top w:type="dxa" w:w="60"/>
              <w:left w:type="dxa" w:w="100"/>
              <w:bottom w:type="dxa" w:w="60"/>
              <w:right w:type="dxa" w:w="100"/>
            </w:tcMar>
            <w:vAlign w:val="center"/>
          </w:tcPr>
          <w:p>
            <w:pPr>
              <w:jc w:val="center"/>
            </w:pPr>
            <w:r>
              <w:rPr>
                <w:b w:val="false"/>
                <w:bCs w:val="false"/>
                <w:sz w:val="20"/>
                <w:szCs w:val="20"/>
              </w:rPr>
              <w:t xml:space="preserve">Best built as a highlight table: Rows and Columns: the four measure names (use a pivoted/reshaped data source or a calculated correlation table); Mark: Square; Color: correlation value on a diverging (red–blue) palette.</w:t>
            </w:r>
          </w:p>
        </w:tc>
      </w:tr>
      <w:tr>
        <w:tc>
          <w:tcPr>
            <w:tcW w:type="dxa" w:w="2600"/>
            <w:shd w:fill="F2F2F2" w:val="clear"/>
            <w:tcMar>
              <w:top w:type="dxa" w:w="60"/>
              <w:left w:type="dxa" w:w="100"/>
              <w:bottom w:type="dxa" w:w="60"/>
              <w:right w:type="dxa" w:w="100"/>
            </w:tcMar>
            <w:vAlign w:val="center"/>
          </w:tcPr>
          <w:p>
            <w:pPr>
              <w:jc w:val="left"/>
            </w:pPr>
            <w:r>
              <w:rPr>
                <w:b w:val="false"/>
                <w:bCs w:val="false"/>
                <w:sz w:val="20"/>
                <w:szCs w:val="20"/>
              </w:rPr>
              <w:t xml:space="preserve">Outlier Boxplot (Fig. 11)</w:t>
            </w:r>
          </w:p>
        </w:tc>
        <w:tc>
          <w:tcPr>
            <w:tcW w:type="dxa" w:w="6980"/>
            <w:shd w:fill="F2F2F2" w:val="clear"/>
            <w:tcMar>
              <w:top w:type="dxa" w:w="60"/>
              <w:left w:type="dxa" w:w="100"/>
              <w:bottom w:type="dxa" w:w="60"/>
              <w:right w:type="dxa" w:w="100"/>
            </w:tcMar>
            <w:vAlign w:val="center"/>
          </w:tcPr>
          <w:p>
            <w:pPr>
              <w:jc w:val="center"/>
            </w:pPr>
            <w:r>
              <w:rPr>
                <w:b w:val="false"/>
                <w:bCs w:val="false"/>
                <w:sz w:val="20"/>
                <w:szCs w:val="20"/>
              </w:rPr>
              <w:t xml:space="preserve">Rows: Category; Columns: Profit; Mark: Circle with 'Box Plot' selected under Analytics &gt; Box Plot, or use Show Me &gt; Box-and-Whisker.</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Customer Pareto (Fig. 12)</w:t>
            </w:r>
          </w:p>
        </w:tc>
        <w:tc>
          <w:tcPr>
            <w:tcW w:type="dxa" w:w="6980"/>
            <w:tcMar>
              <w:top w:type="dxa" w:w="60"/>
              <w:left w:type="dxa" w:w="100"/>
              <w:bottom w:type="dxa" w:w="60"/>
              <w:right w:type="dxa" w:w="100"/>
            </w:tcMar>
            <w:vAlign w:val="center"/>
          </w:tcPr>
          <w:p>
            <w:pPr>
              <w:jc w:val="center"/>
            </w:pPr>
            <w:r>
              <w:rPr>
                <w:b w:val="false"/>
                <w:bCs w:val="false"/>
                <w:sz w:val="20"/>
                <w:szCs w:val="20"/>
              </w:rPr>
              <w:t xml:space="preserve">Columns: Customer ID (sorted descending by Sales, table calculation 'Running % of Total'); Rows: SUM(Sales); apply a Rank/Running Total quick table calculation for the cumulative curve; Mark: Line.</w:t>
            </w:r>
          </w:p>
        </w:tc>
      </w:tr>
      <w:tr>
        <w:tc>
          <w:tcPr>
            <w:tcW w:type="dxa" w:w="2600"/>
            <w:shd w:fill="F2F2F2" w:val="clear"/>
            <w:tcMar>
              <w:top w:type="dxa" w:w="60"/>
              <w:left w:type="dxa" w:w="100"/>
              <w:bottom w:type="dxa" w:w="60"/>
              <w:right w:type="dxa" w:w="100"/>
            </w:tcMar>
            <w:vAlign w:val="center"/>
          </w:tcPr>
          <w:p>
            <w:pPr>
              <w:jc w:val="left"/>
            </w:pPr>
            <w:r>
              <w:rPr>
                <w:b w:val="false"/>
                <w:bCs w:val="false"/>
                <w:sz w:val="20"/>
                <w:szCs w:val="20"/>
              </w:rPr>
              <w:t xml:space="preserve">Executive KPI tiles (Table 3)</w:t>
            </w:r>
          </w:p>
        </w:tc>
        <w:tc>
          <w:tcPr>
            <w:tcW w:type="dxa" w:w="6980"/>
            <w:shd w:fill="F2F2F2" w:val="clear"/>
            <w:tcMar>
              <w:top w:type="dxa" w:w="60"/>
              <w:left w:type="dxa" w:w="100"/>
              <w:bottom w:type="dxa" w:w="60"/>
              <w:right w:type="dxa" w:w="100"/>
            </w:tcMar>
            <w:vAlign w:val="center"/>
          </w:tcPr>
          <w:p>
            <w:pPr>
              <w:jc w:val="center"/>
            </w:pPr>
            <w:r>
              <w:rPr>
                <w:b w:val="false"/>
                <w:bCs w:val="false"/>
                <w:sz w:val="20"/>
                <w:szCs w:val="20"/>
              </w:rPr>
              <w:t xml:space="preserve">Individual text/BAN (Big Ass Number) tiles built from calculated fields for Total Sales, Total Profit, Profit Margin, and Avg. Order Value, assembled into a dashboard header row.</w:t>
            </w:r>
          </w:p>
        </w:tc>
      </w:tr>
    </w:tbl>
    <w:p>
      <w:pPr>
        <w:spacing w:after="260" w:before="60"/>
        <w:jc w:val="center"/>
      </w:pPr>
      <w:r>
        <w:rPr>
          <w:i/>
          <w:iCs/>
          <w:color w:val="595959"/>
          <w:sz w:val="19"/>
          <w:szCs w:val="19"/>
        </w:rPr>
        <w:t xml:space="preserve">Table 13. Tableau build specification for every chart in this report.</w:t>
      </w:r>
    </w:p>
    <w:p>
      <w:pPr>
        <w:spacing w:after="160" w:line="276"/>
      </w:pPr>
      <w:r>
        <w:t xml:space="preserve">Recommended dashboard filters/interactivity: a global date-range filter (Order Date), a Region/State filter, a Category/Sub-Category filter, and a Discount slider — all set to apply across all sheets so a reader can drill from the executive KPI view down to a single state, category, or discount band without leaving the dashboard.</w:t>
      </w:r>
    </w:p>
    <w:p>
      <w:pPr>
        <w:pStyle w:val="Heading1"/>
        <w:spacing w:after="160" w:before="360"/>
      </w:pPr>
      <w:r>
        <w:t xml:space="preserve">8. Areas for Further Investigation</w:t>
      </w:r>
    </w:p>
    <w:p>
      <w:pPr>
        <w:pStyle w:val="ListParagraph"/>
        <w:numPr>
          <w:ilvl w:val="0"/>
          <w:numId w:val="1"/>
        </w:numPr>
        <w:spacing w:after="90" w:line="268"/>
      </w:pPr>
      <w:r>
        <w:t xml:space="preserve">Return/cancellation data (not present in this extract) would clarify whether high-discount, high-loss orders are also disproportionately returned.</w:t>
      </w:r>
    </w:p>
    <w:p>
      <w:pPr>
        <w:pStyle w:val="ListParagraph"/>
        <w:numPr>
          <w:ilvl w:val="0"/>
          <w:numId w:val="1"/>
        </w:numPr>
        <w:spacing w:after="90" w:line="268"/>
      </w:pPr>
      <w:r>
        <w:t xml:space="preserve">A shipping-cost field would allow a true landed-margin analysis rather than inferring cost pressure from discount alone.</w:t>
      </w:r>
    </w:p>
    <w:p>
      <w:pPr>
        <w:pStyle w:val="ListParagraph"/>
        <w:numPr>
          <w:ilvl w:val="0"/>
          <w:numId w:val="1"/>
        </w:numPr>
        <w:spacing w:after="90" w:line="268"/>
      </w:pPr>
      <w:r>
        <w:t xml:space="preserve">Customer-level cohort analysis (first purchase date, repeat-purchase rate) would deepen the Pareto finding in Section 5.10 into a retention strategy.</w:t>
      </w:r>
    </w:p>
    <w:p>
      <w:pPr>
        <w:pStyle w:val="ListParagraph"/>
        <w:numPr>
          <w:ilvl w:val="0"/>
          <w:numId w:val="1"/>
        </w:numPr>
        <w:spacing w:after="90" w:line="268"/>
      </w:pPr>
      <w:r>
        <w:t xml:space="preserve">A market-basket analysis of products frequently ordered together could inform bundling strategies to lift Furniture and Office Supplies margins.</w:t>
      </w:r>
    </w:p>
    <w:p>
      <w:pPr>
        <w:pStyle w:val="ListParagraph"/>
        <w:numPr>
          <w:ilvl w:val="0"/>
          <w:numId w:val="1"/>
        </w:numPr>
        <w:spacing w:after="90" w:line="268"/>
      </w:pPr>
      <w:r>
        <w:t xml:space="preserve">Competitive/regional pricing data would help explain why Central and South regions run thinner margins than West and East.</w:t>
      </w:r>
    </w:p>
    <w:p>
      <w:pPr>
        <w:pStyle w:val="Heading1"/>
        <w:spacing w:after="160" w:before="360"/>
      </w:pPr>
      <w:r>
        <w:t xml:space="preserve">9. Conclusion</w:t>
      </w:r>
    </w:p>
    <w:p>
      <w:pPr>
        <w:spacing w:after="160" w:line="276"/>
      </w:pPr>
      <w:r>
        <w:t xml:space="preserve">This exploratory analysis of the Sample – Superstore dataset shows a business with healthy, consistently growing top-line sales but a profit profile that is heavily shaped by discounting behavior rather than by category or region alone. The clearest, most actionable finding is the discount threshold beyond which margins turn negative; the clearest structural issue is the underperformance of the Tables and Machines sub-categories. Both findings, along with the seasonal and geographic patterns identified above, translate directly into the Tableau dashboard specification in Section 7, giving a clear path from this static report to a live, explorable analytics tool.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Sample – Superstore | EDA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E79A7" w:sz="8"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6"/>
      <w:szCs w:val="26"/>
    </w:rPr>
  </w:style>
  <w:style w:type="paragraph" w:styleId="Heading3">
    <w:name w:val="Heading 3"/>
    <w:basedOn w:val="Normal"/>
    <w:next w:val="Normal"/>
    <w:qFormat/>
    <w:rPr>
      <w:rFonts w:ascii="Calibri" w:cs="Calibri" w:eastAsia="Calibri" w:hAnsi="Calibri"/>
      <w:b/>
      <w:bCs/>
      <w:i w:val="false"/>
      <w:iCs w:val="false"/>
      <w:color w:val="4E79A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17889fa7875741862e29476f41546e4185521d.png"/><Relationship Id="rId10" Type="http://schemas.openxmlformats.org/officeDocument/2006/relationships/image" Target="media/d27b78b391890a0f0321c6aa7f60c94e80ae8451.png"/><Relationship Id="rId11" Type="http://schemas.openxmlformats.org/officeDocument/2006/relationships/image" Target="media/5c0cf4c579e048d3ea3c52b6279ca0ac5173b2fb.png"/><Relationship Id="rId12" Type="http://schemas.openxmlformats.org/officeDocument/2006/relationships/image" Target="media/2c8c9bd7a72e684b1e710d2778c1985327ae36a2.png"/><Relationship Id="rId13" Type="http://schemas.openxmlformats.org/officeDocument/2006/relationships/image" Target="media/7b70b11835da25d8a1fe6bc771f98a4a398636eb.png"/><Relationship Id="rId14" Type="http://schemas.openxmlformats.org/officeDocument/2006/relationships/image" Target="media/8da2639d06e014eb503fffad979375f4783eff7d.png"/><Relationship Id="rId15" Type="http://schemas.openxmlformats.org/officeDocument/2006/relationships/image" Target="media/9a45be772282db47554496f7293f4a54d3da09a0.png"/><Relationship Id="rId16" Type="http://schemas.openxmlformats.org/officeDocument/2006/relationships/image" Target="media/d29479582e8868ce1976b810ae0b5d4b8230f54b.png"/><Relationship Id="rId17" Type="http://schemas.openxmlformats.org/officeDocument/2006/relationships/image" Target="media/1790c22a1d037756201649f7c91b116c4d104679.png"/><Relationship Id="rId18" Type="http://schemas.openxmlformats.org/officeDocument/2006/relationships/image" Target="media/04c03c61fc4903989aca3c75faeacc924e378443.png"/><Relationship Id="rId19" Type="http://schemas.openxmlformats.org/officeDocument/2006/relationships/image" Target="media/c442b3f6c79071f64747133a4a5678a37b402c56.png"/><Relationship Id="rId20" Type="http://schemas.openxmlformats.org/officeDocument/2006/relationships/image" Target="media/89a41c198279a2e106cf77ec9eff2c131868e77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2026-08-10T14:29:44.574Z</dcterms:created>
  <dcterms:modified xsi:type="dcterms:W3CDTF">2026-08-10T14:29:44.574Z</dcterms:modified>
</cp:coreProperties>
</file>

<file path=docProps/custom.xml><?xml version="1.0" encoding="utf-8"?>
<Properties xmlns="http://schemas.openxmlformats.org/officeDocument/2006/custom-properties" xmlns:vt="http://schemas.openxmlformats.org/officeDocument/2006/docPropsVTypes"/>
</file>