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tock-market-price-prediction-report"/>
    <w:p>
      <w:pPr>
        <w:pStyle w:val="Heading1"/>
      </w:pPr>
      <w:r>
        <w:t xml:space="preserve">Stock Market Price Prediction Report</w:t>
      </w:r>
    </w:p>
    <w:bookmarkStart w:id="22" w:name="X673764a085238c1141e882d61629035cead3263"/>
    <w:p>
      <w:pPr>
        <w:pStyle w:val="Heading2"/>
      </w:pPr>
      <w:r>
        <w:t xml:space="preserve">Project Title: SENSEX Price Forecasting using ARIMA, SARIMA, and LSTM Models</w:t>
      </w:r>
    </w:p>
    <w:bookmarkStart w:id="20" w:name="author-lokesh-garg"/>
    <w:p>
      <w:pPr>
        <w:pStyle w:val="Heading3"/>
      </w:pPr>
      <w:r>
        <w:t xml:space="preserve">Author: Lokesh Garg</w:t>
      </w:r>
    </w:p>
    <w:bookmarkEnd w:id="20"/>
    <w:bookmarkStart w:id="21" w:name="date-june-2025"/>
    <w:p>
      <w:pPr>
        <w:pStyle w:val="Heading3"/>
      </w:pPr>
      <w:r>
        <w:t xml:space="preserve">Date: June 2025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This project focuses on forecasting the</w:t>
      </w:r>
      <w:r>
        <w:t xml:space="preserve"> </w:t>
      </w:r>
      <w:r>
        <w:rPr>
          <w:b/>
          <w:bCs/>
        </w:rPr>
        <w:t xml:space="preserve">SENSEX</w:t>
      </w:r>
      <w:r>
        <w:t xml:space="preserve"> </w:t>
      </w:r>
      <w:r>
        <w:t xml:space="preserve">index from</w:t>
      </w:r>
      <w:r>
        <w:t xml:space="preserve"> </w:t>
      </w:r>
      <w:r>
        <w:rPr>
          <w:b/>
          <w:bCs/>
        </w:rPr>
        <w:t xml:space="preserve">2008 to 2025</w:t>
      </w:r>
      <w:r>
        <w:t xml:space="preserve"> </w:t>
      </w:r>
      <w:r>
        <w:t xml:space="preserve">using statistical and deep learning techniques, including</w:t>
      </w:r>
      <w:r>
        <w:t xml:space="preserve"> </w:t>
      </w:r>
      <w:r>
        <w:rPr>
          <w:b/>
          <w:bCs/>
        </w:rPr>
        <w:t xml:space="preserve">ARIMA</w:t>
      </w:r>
      <w:r>
        <w:t xml:space="preserve">,</w:t>
      </w:r>
      <w:r>
        <w:t xml:space="preserve"> </w:t>
      </w:r>
      <w:r>
        <w:rPr>
          <w:b/>
          <w:bCs/>
        </w:rPr>
        <w:t xml:space="preserve">SARIMA</w:t>
      </w:r>
      <w:r>
        <w:t xml:space="preserve">, and</w:t>
      </w:r>
      <w:r>
        <w:t xml:space="preserve"> </w:t>
      </w:r>
      <w:r>
        <w:rPr>
          <w:b/>
          <w:bCs/>
        </w:rPr>
        <w:t xml:space="preserve">LSTM</w:t>
      </w:r>
      <w:r>
        <w:t xml:space="preserve">. These models were evaluated using Root Mean Square Error (RMSE) and Mean Absolute Error (MAE). The LSTM model achieved the best performance, indicating its superior capability in capturing non-linear market trends. This report highlights the model development process, comparative performance, visualizations, limitations, and future improvements.</w:t>
      </w:r>
    </w:p>
    <w:p>
      <w:r>
        <w:pict>
          <v:rect style="width:0;height:1.5pt" o:hralign="center" o:hrstd="t" o:hr="t"/>
        </w:pict>
      </w:r>
    </w:p>
    <w:bookmarkEnd w:id="23"/>
    <w:bookmarkStart w:id="25" w:name="introduction"/>
    <w:p>
      <w:pPr>
        <w:pStyle w:val="Heading2"/>
      </w:pPr>
      <w:r>
        <w:t xml:space="preserve">2. Introduction</w:t>
      </w:r>
    </w:p>
    <w:p>
      <w:pPr>
        <w:pStyle w:val="FirstParagraph"/>
      </w:pPr>
      <w:r>
        <w:t xml:space="preserve">Stock market forecasting is crucial for investors and financial analysts. The</w:t>
      </w:r>
      <w:r>
        <w:t xml:space="preserve"> </w:t>
      </w:r>
      <w:r>
        <w:rPr>
          <w:b/>
          <w:bCs/>
        </w:rPr>
        <w:t xml:space="preserve">SENSEX</w:t>
      </w:r>
      <w:r>
        <w:t xml:space="preserve">, representing 30 of the largest and most actively traded stocks on the Bombay Stock Exchange, is a major indicator of the Indian stock market’s health. Given its volatility and trend-based patterns, effective prediction requires robust modeling techniques.</w:t>
      </w:r>
    </w:p>
    <w:bookmarkStart w:id="24" w:name="objectives"/>
    <w:p>
      <w:pPr>
        <w:pStyle w:val="Heading3"/>
      </w:pPr>
      <w:r>
        <w:t xml:space="preserve">Objectives:</w:t>
      </w:r>
    </w:p>
    <w:p>
      <w:pPr>
        <w:pStyle w:val="Compact"/>
        <w:numPr>
          <w:ilvl w:val="0"/>
          <w:numId w:val="1001"/>
        </w:numPr>
      </w:pPr>
      <w:r>
        <w:t xml:space="preserve">Forecast future SENSEX values using historical daily closing prices.</w:t>
      </w:r>
    </w:p>
    <w:p>
      <w:pPr>
        <w:pStyle w:val="Compact"/>
        <w:numPr>
          <w:ilvl w:val="0"/>
          <w:numId w:val="1001"/>
        </w:numPr>
      </w:pPr>
      <w:r>
        <w:t xml:space="preserve">Compare the performance of ARIMA, SARIMA, and LSTM models.</w:t>
      </w:r>
    </w:p>
    <w:p>
      <w:pPr>
        <w:pStyle w:val="Compact"/>
        <w:numPr>
          <w:ilvl w:val="0"/>
          <w:numId w:val="1001"/>
        </w:numPr>
      </w:pPr>
      <w:r>
        <w:t xml:space="preserve">Assess each model using quantitative metrics and visual insights.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data-collection-and-preprocessing"/>
    <w:p>
      <w:pPr>
        <w:pStyle w:val="Heading2"/>
      </w:pPr>
      <w:r>
        <w:t xml:space="preserve">3. Data Collection and Preprocessing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Source</w:t>
      </w:r>
      <w:r>
        <w:t xml:space="preserve">: Yahoo Finance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Time Period</w:t>
      </w:r>
      <w:r>
        <w:t xml:space="preserve">: January 2008 – June 2025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Attributes Used</w:t>
      </w:r>
      <w:r>
        <w:t xml:space="preserve">: Date, Closing Price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Frequency</w:t>
      </w:r>
      <w:r>
        <w:t xml:space="preserve">: Daily</w:t>
      </w:r>
    </w:p>
    <w:bookmarkStart w:id="26" w:name="preprocessing-steps"/>
    <w:p>
      <w:pPr>
        <w:pStyle w:val="Heading3"/>
      </w:pPr>
      <w:r>
        <w:t xml:space="preserve">Preprocessing Steps:</w:t>
      </w:r>
    </w:p>
    <w:p>
      <w:pPr>
        <w:pStyle w:val="Compact"/>
        <w:numPr>
          <w:ilvl w:val="0"/>
          <w:numId w:val="1003"/>
        </w:numPr>
      </w:pPr>
      <w:r>
        <w:t xml:space="preserve">Missing values filled using forward fill method.</w:t>
      </w:r>
    </w:p>
    <w:p>
      <w:pPr>
        <w:pStyle w:val="Compact"/>
        <w:numPr>
          <w:ilvl w:val="0"/>
          <w:numId w:val="1003"/>
        </w:numPr>
      </w:pPr>
      <w:r>
        <w:t xml:space="preserve">Date converted to datetime object and set as index.</w:t>
      </w:r>
    </w:p>
    <w:p>
      <w:pPr>
        <w:pStyle w:val="Compact"/>
        <w:numPr>
          <w:ilvl w:val="0"/>
          <w:numId w:val="1003"/>
        </w:numPr>
      </w:pPr>
      <w:r>
        <w:t xml:space="preserve">Used MinMaxScaler to scale prices for LSTM (range 0–1).</w:t>
      </w:r>
    </w:p>
    <w:p>
      <w:pPr>
        <w:pStyle w:val="Compact"/>
        <w:numPr>
          <w:ilvl w:val="0"/>
          <w:numId w:val="1003"/>
        </w:numPr>
      </w:pPr>
      <w:r>
        <w:t xml:space="preserve">Applied first-order differencing to remove trend for ARIMA and SARIMA.</w:t>
      </w:r>
    </w:p>
    <w:p>
      <w:pPr>
        <w:pStyle w:val="Compact"/>
        <w:numPr>
          <w:ilvl w:val="0"/>
          <w:numId w:val="1003"/>
        </w:numPr>
      </w:pPr>
      <w:r>
        <w:t xml:space="preserve">ADF (Augmented Dickey-Fuller) test conducted to check stationarity.</w:t>
      </w:r>
    </w:p>
    <w:bookmarkEnd w:id="26"/>
    <w:bookmarkStart w:id="27" w:name="stationarity-test"/>
    <w:p>
      <w:pPr>
        <w:pStyle w:val="Heading3"/>
      </w:pPr>
      <w:r>
        <w:t xml:space="preserve">Stationarity Test:</w:t>
      </w:r>
    </w:p>
    <w:p>
      <w:pPr>
        <w:pStyle w:val="FirstParagraph"/>
      </w:pPr>
      <w:r>
        <w:t xml:space="preserve">The ADF test result yielded a test statistic lower than the critical value at a 5% significance level, confirming that differencing made the series stationary.</w:t>
      </w:r>
    </w:p>
    <w:bookmarkEnd w:id="27"/>
    <w:bookmarkStart w:id="28" w:name="seasonal-decomposition"/>
    <w:p>
      <w:pPr>
        <w:pStyle w:val="Heading3"/>
      </w:pPr>
      <w:r>
        <w:t xml:space="preserve">Seasonal Decomposition:</w:t>
      </w:r>
    </w:p>
    <w:p>
      <w:pPr>
        <w:pStyle w:val="FirstParagraph"/>
      </w:pPr>
      <w:r>
        <w:t xml:space="preserve">Seasonal decomposition of time series showed weekly seasonality patterns, which were addressed in SARIMA modeling.</w:t>
      </w:r>
    </w:p>
    <w:bookmarkEnd w:id="28"/>
    <w:bookmarkStart w:id="29" w:name="visualization"/>
    <w:p>
      <w:pPr>
        <w:pStyle w:val="Heading3"/>
      </w:pPr>
      <w:r>
        <w:t xml:space="preserve">Visualization:</w:t>
      </w:r>
    </w:p>
    <w:p>
      <w:pPr>
        <w:pStyle w:val="FirstParagraph"/>
      </w:pPr>
      <w:r>
        <w:t xml:space="preserve">A time-series plot of the SENSEX closing prices from 2008 to 2025 illustrates multiple bullish and bearish phases, global financial crises, and post-pandemic recovery.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model-architectures"/>
    <w:p>
      <w:pPr>
        <w:pStyle w:val="Heading2"/>
      </w:pPr>
      <w:r>
        <w:t xml:space="preserve">4. Model Architectures</w:t>
      </w:r>
    </w:p>
    <w:bookmarkStart w:id="31" w:name="arima-model"/>
    <w:p>
      <w:pPr>
        <w:pStyle w:val="Heading3"/>
      </w:pPr>
      <w:r>
        <w:t xml:space="preserve">4.1 ARIMA Model</w:t>
      </w:r>
    </w:p>
    <w:p>
      <w:pPr>
        <w:pStyle w:val="Compact"/>
        <w:numPr>
          <w:ilvl w:val="0"/>
          <w:numId w:val="1004"/>
        </w:numPr>
      </w:pPr>
      <w:r>
        <w:t xml:space="preserve">Model trained on differenced data.</w:t>
      </w:r>
    </w:p>
    <w:p>
      <w:pPr>
        <w:pStyle w:val="Compact"/>
        <w:numPr>
          <w:ilvl w:val="0"/>
          <w:numId w:val="1004"/>
        </w:numPr>
      </w:pPr>
      <w:r>
        <w:t xml:space="preserve">Parameters selected through iterative testing.</w:t>
      </w:r>
    </w:p>
    <w:p>
      <w:pPr>
        <w:pStyle w:val="Compact"/>
        <w:numPr>
          <w:ilvl w:val="0"/>
          <w:numId w:val="1004"/>
        </w:numPr>
      </w:pPr>
      <w:r>
        <w:t xml:space="preserve">Final Order:</w:t>
      </w:r>
      <w:r>
        <w:t xml:space="preserve"> </w:t>
      </w:r>
      <w:r>
        <w:rPr>
          <w:b/>
          <w:bCs/>
        </w:rPr>
        <w:t xml:space="preserve">(p=2, d=1, q=2)</w:t>
      </w:r>
    </w:p>
    <w:p>
      <w:pPr>
        <w:pStyle w:val="Compact"/>
        <w:numPr>
          <w:ilvl w:val="0"/>
          <w:numId w:val="1004"/>
        </w:numPr>
      </w:pPr>
      <w:r>
        <w:t xml:space="preserve">Residual diagnostics performed to validate assumptions.</w:t>
      </w:r>
    </w:p>
    <w:bookmarkEnd w:id="31"/>
    <w:bookmarkStart w:id="32" w:name="sarima-model"/>
    <w:p>
      <w:pPr>
        <w:pStyle w:val="Heading3"/>
      </w:pPr>
      <w:r>
        <w:t xml:space="preserve">4.2 SARIMA Model</w:t>
      </w:r>
    </w:p>
    <w:p>
      <w:pPr>
        <w:pStyle w:val="Compact"/>
        <w:numPr>
          <w:ilvl w:val="0"/>
          <w:numId w:val="1005"/>
        </w:numPr>
      </w:pPr>
      <w:r>
        <w:t xml:space="preserve">Seasonality incorporated with weekly cycles.</w:t>
      </w:r>
    </w:p>
    <w:p>
      <w:pPr>
        <w:pStyle w:val="Compact"/>
        <w:numPr>
          <w:ilvl w:val="0"/>
          <w:numId w:val="1005"/>
        </w:numPr>
      </w:pPr>
      <w:r>
        <w:t xml:space="preserve">Final Order:</w:t>
      </w:r>
      <w:r>
        <w:t xml:space="preserve"> </w:t>
      </w:r>
      <w:r>
        <w:rPr>
          <w:b/>
          <w:bCs/>
        </w:rPr>
        <w:t xml:space="preserve">(p=2, d=1, q=2)(P=2, D=1, Q=2, s=7)</w:t>
      </w:r>
    </w:p>
    <w:p>
      <w:pPr>
        <w:pStyle w:val="Compact"/>
        <w:numPr>
          <w:ilvl w:val="0"/>
          <w:numId w:val="1005"/>
        </w:numPr>
      </w:pPr>
      <w:r>
        <w:t xml:space="preserve">Provided significant improvement over ARIMA by capturing recurring weekly patterns.</w:t>
      </w:r>
    </w:p>
    <w:bookmarkEnd w:id="32"/>
    <w:bookmarkStart w:id="33" w:name="lstm-model-deep-learning"/>
    <w:p>
      <w:pPr>
        <w:pStyle w:val="Heading3"/>
      </w:pPr>
      <w:r>
        <w:t xml:space="preserve">4.3 LSTM Model (Deep Learning)</w:t>
      </w:r>
    </w:p>
    <w:p>
      <w:pPr>
        <w:pStyle w:val="Compact"/>
        <w:numPr>
          <w:ilvl w:val="0"/>
          <w:numId w:val="1006"/>
        </w:numPr>
      </w:pPr>
      <w:r>
        <w:t xml:space="preserve">Data transformed into sequences using sliding windows.</w:t>
      </w:r>
    </w:p>
    <w:p>
      <w:pPr>
        <w:pStyle w:val="Compact"/>
        <w:numPr>
          <w:ilvl w:val="0"/>
          <w:numId w:val="1006"/>
        </w:numPr>
      </w:pPr>
      <w:r>
        <w:t xml:space="preserve">Input shape: 60 previous timesteps to predict next value.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LSTM, Dropout, Dense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 xml:space="preserve">model.add(LSTM(units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return_sequences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model.add(Dropout(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model.add(LSTM(units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return_sequences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'mean_squared_error'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model.fit(X_train, y_train,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evaluation-metrics"/>
    <w:p>
      <w:pPr>
        <w:pStyle w:val="Heading2"/>
      </w:pPr>
      <w:r>
        <w:t xml:space="preserve">5. Evaluation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ARIMA</w:t>
            </w:r>
          </w:p>
        </w:tc>
        <w:tc>
          <w:tcPr/>
          <w:p>
            <w:pPr>
              <w:pStyle w:val="Compact"/>
            </w:pPr>
            <w:r>
              <w:t xml:space="preserve">12124.75</w:t>
            </w:r>
          </w:p>
        </w:tc>
        <w:tc>
          <w:tcPr/>
          <w:p>
            <w:pPr>
              <w:pStyle w:val="Compact"/>
            </w:pPr>
            <w:r>
              <w:t xml:space="preserve">9965.74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SARIMA</w:t>
            </w:r>
          </w:p>
        </w:tc>
        <w:tc>
          <w:tcPr/>
          <w:p>
            <w:pPr>
              <w:pStyle w:val="Compact"/>
            </w:pPr>
            <w:r>
              <w:t xml:space="preserve">3517.34</w:t>
            </w:r>
          </w:p>
        </w:tc>
        <w:tc>
          <w:tcPr/>
          <w:p>
            <w:pPr>
              <w:pStyle w:val="Compact"/>
            </w:pPr>
            <w:r>
              <w:t xml:space="preserve">2769.64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LSTM</w:t>
            </w:r>
          </w:p>
        </w:tc>
        <w:tc>
          <w:tcPr/>
          <w:p>
            <w:pPr>
              <w:pStyle w:val="Compact"/>
            </w:pPr>
            <w:r>
              <w:t xml:space="preserve">948.30</w:t>
            </w:r>
          </w:p>
        </w:tc>
        <w:tc>
          <w:tcPr/>
          <w:p>
            <w:pPr>
              <w:pStyle w:val="Compact"/>
            </w:pPr>
            <w:r>
              <w:t xml:space="preserve">731.86</w:t>
            </w:r>
          </w:p>
        </w:tc>
      </w:tr>
    </w:tbl>
    <w:bookmarkStart w:id="35" w:name="interpretation"/>
    <w:p>
      <w:pPr>
        <w:pStyle w:val="Heading3"/>
      </w:pPr>
      <w:r>
        <w:t xml:space="preserve">Interpretation: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LSTM</w:t>
      </w:r>
      <w:r>
        <w:t xml:space="preserve"> </w:t>
      </w:r>
      <w:r>
        <w:t xml:space="preserve">demonstrated exceptional performance in both RMSE and MAE, confirming its effectiveness in capturing complex temporal dependencies.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SARIMA</w:t>
      </w:r>
      <w:r>
        <w:t xml:space="preserve"> </w:t>
      </w:r>
      <w:r>
        <w:t xml:space="preserve">outperformed ARIMA by addressing seasonality.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ARIMA</w:t>
      </w:r>
      <w:r>
        <w:t xml:space="preserve"> </w:t>
      </w:r>
      <w:r>
        <w:t xml:space="preserve">was the least accurate, likely due to lack of seasonal modeling and inability to learn non-linear relationships.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visual-comparisons"/>
    <w:p>
      <w:pPr>
        <w:pStyle w:val="Heading2"/>
      </w:pPr>
      <w:r>
        <w:t xml:space="preserve">6. Visual Comparisons</w:t>
      </w:r>
    </w:p>
    <w:p>
      <w:pPr>
        <w:pStyle w:val="FirstParagraph"/>
      </w:pPr>
      <w:r>
        <w:t xml:space="preserve">Plots included in analysis:</w:t>
      </w:r>
    </w:p>
    <w:p>
      <w:pPr>
        <w:pStyle w:val="Compact"/>
        <w:numPr>
          <w:ilvl w:val="0"/>
          <w:numId w:val="1008"/>
        </w:numPr>
      </w:pPr>
      <w:r>
        <w:t xml:space="preserve">Line Chart: Actual vs Predicted Prices for each model</w:t>
      </w:r>
    </w:p>
    <w:p>
      <w:pPr>
        <w:pStyle w:val="Compact"/>
        <w:numPr>
          <w:ilvl w:val="0"/>
          <w:numId w:val="1008"/>
        </w:numPr>
      </w:pPr>
      <w:r>
        <w:t xml:space="preserve">Residual Plot: Error distribution for ARIMA and SARIMA</w:t>
      </w:r>
    </w:p>
    <w:p>
      <w:pPr>
        <w:pStyle w:val="Compact"/>
        <w:numPr>
          <w:ilvl w:val="0"/>
          <w:numId w:val="1008"/>
        </w:numPr>
      </w:pPr>
      <w:r>
        <w:t xml:space="preserve">LSTM Loss Curve: Training vs Validation loss over epochs</w:t>
      </w:r>
    </w:p>
    <w:p>
      <w:pPr>
        <w:pStyle w:val="Compact"/>
        <w:numPr>
          <w:ilvl w:val="0"/>
          <w:numId w:val="1008"/>
        </w:numPr>
      </w:pPr>
      <w:r>
        <w:t xml:space="preserve">Feature Scaling and Inverse Transform Impact</w:t>
      </w:r>
    </w:p>
    <w:p>
      <w:r>
        <w:pict>
          <v:rect style="width:0;height:1.5pt" o:hralign="center" o:hrstd="t" o:hr="t"/>
        </w:pict>
      </w:r>
    </w:p>
    <w:bookmarkEnd w:id="37"/>
    <w:bookmarkStart w:id="38" w:name="limitations"/>
    <w:p>
      <w:pPr>
        <w:pStyle w:val="Heading2"/>
      </w:pPr>
      <w:r>
        <w:t xml:space="preserve">7. Limitations</w:t>
      </w:r>
    </w:p>
    <w:p>
      <w:pPr>
        <w:pStyle w:val="Compact"/>
        <w:numPr>
          <w:ilvl w:val="0"/>
          <w:numId w:val="1009"/>
        </w:numPr>
      </w:pPr>
      <w:r>
        <w:t xml:space="preserve">Classical models (ARIMA/SARIMA) assume linearity and may fail during extreme market shifts.</w:t>
      </w:r>
    </w:p>
    <w:p>
      <w:pPr>
        <w:pStyle w:val="Compact"/>
        <w:numPr>
          <w:ilvl w:val="0"/>
          <w:numId w:val="1009"/>
        </w:numPr>
      </w:pPr>
      <w:r>
        <w:t xml:space="preserve">LSTM requires extensive hyperparameter tuning and larger datasets.</w:t>
      </w:r>
    </w:p>
    <w:p>
      <w:pPr>
        <w:pStyle w:val="Compact"/>
        <w:numPr>
          <w:ilvl w:val="0"/>
          <w:numId w:val="1009"/>
        </w:numPr>
      </w:pPr>
      <w:r>
        <w:t xml:space="preserve">No inclusion of macroeconomic indicators (e.g., interest rates, GDP) or qualitative signals (e.g., news sentiment).</w:t>
      </w:r>
    </w:p>
    <w:p>
      <w:r>
        <w:pict>
          <v:rect style="width:0;height:1.5pt" o:hralign="center" o:hrstd="t" o:hr="t"/>
        </w:pict>
      </w:r>
    </w:p>
    <w:bookmarkEnd w:id="38"/>
    <w:bookmarkStart w:id="39" w:name="future-work"/>
    <w:p>
      <w:pPr>
        <w:pStyle w:val="Heading2"/>
      </w:pPr>
      <w:r>
        <w:t xml:space="preserve">8. Future Work</w:t>
      </w:r>
    </w:p>
    <w:p>
      <w:pPr>
        <w:pStyle w:val="Compact"/>
        <w:numPr>
          <w:ilvl w:val="0"/>
          <w:numId w:val="1010"/>
        </w:numPr>
      </w:pPr>
      <w:r>
        <w:t xml:space="preserve">Incorporate external regressors (e.g., Nifty index, global indices, inflation rates).</w:t>
      </w:r>
    </w:p>
    <w:p>
      <w:pPr>
        <w:pStyle w:val="Compact"/>
        <w:numPr>
          <w:ilvl w:val="0"/>
          <w:numId w:val="1010"/>
        </w:numPr>
      </w:pPr>
      <w:r>
        <w:t xml:space="preserve">Integrate sentiment analysis from financial news and social media.</w:t>
      </w:r>
    </w:p>
    <w:p>
      <w:pPr>
        <w:pStyle w:val="Compact"/>
        <w:numPr>
          <w:ilvl w:val="0"/>
          <w:numId w:val="1010"/>
        </w:numPr>
      </w:pPr>
      <w:r>
        <w:t xml:space="preserve">Explore hybrid models combining ARIMA/SARIMA with LSTM.</w:t>
      </w:r>
    </w:p>
    <w:p>
      <w:pPr>
        <w:pStyle w:val="Compact"/>
        <w:numPr>
          <w:ilvl w:val="0"/>
          <w:numId w:val="1010"/>
        </w:numPr>
      </w:pPr>
      <w:r>
        <w:t xml:space="preserve">Experiment with advanced models like GRU, Bi-LSTM, and Transformer-based Time Series Models.</w:t>
      </w:r>
    </w:p>
    <w:p>
      <w:pPr>
        <w:pStyle w:val="Compact"/>
        <w:numPr>
          <w:ilvl w:val="0"/>
          <w:numId w:val="1010"/>
        </w:numPr>
      </w:pPr>
      <w:r>
        <w:t xml:space="preserve">Build an interactive dashboard using Streamlit for real-time forecasting.</w:t>
      </w:r>
    </w:p>
    <w:p>
      <w:r>
        <w:pict>
          <v:rect style="width:0;height:1.5pt" o:hralign="center" o:hrstd="t" o:hr="t"/>
        </w:pict>
      </w:r>
    </w:p>
    <w:bookmarkEnd w:id="39"/>
    <w:bookmarkStart w:id="40" w:name="conclusion"/>
    <w:p>
      <w:pPr>
        <w:pStyle w:val="Heading2"/>
      </w:pPr>
      <w:r>
        <w:t xml:space="preserve">9. Conclusion</w:t>
      </w:r>
    </w:p>
    <w:p>
      <w:pPr>
        <w:pStyle w:val="FirstParagraph"/>
      </w:pPr>
      <w:r>
        <w:t xml:space="preserve">This project demonstrates the evolution of time-series forecasting, from traditional models like ARIMA and SARIMA to deep learning approaches like LSTM. The superior performance of LSTM highlights the growing importance of data-driven, neural approaches for financial predictions. While classical models provide a solid baseline, modern methods offer enhanced accuracy and adaptability in volatile market environments.</w:t>
      </w:r>
    </w:p>
    <w:p>
      <w:r>
        <w:pict>
          <v:rect style="width:0;height:1.5pt" o:hralign="center" o:hrstd="t" o:hr="t"/>
        </w:pict>
      </w:r>
    </w:p>
    <w:bookmarkEnd w:id="40"/>
    <w:bookmarkStart w:id="41" w:name="references"/>
    <w:p>
      <w:pPr>
        <w:pStyle w:val="Heading2"/>
      </w:pPr>
      <w:r>
        <w:t xml:space="preserve">10. References</w:t>
      </w:r>
    </w:p>
    <w:p>
      <w:pPr>
        <w:pStyle w:val="Compact"/>
        <w:numPr>
          <w:ilvl w:val="0"/>
          <w:numId w:val="1011"/>
        </w:numPr>
      </w:pPr>
      <w:r>
        <w:t xml:space="preserve">Yahoo Finance for SENSEX data</w:t>
      </w:r>
    </w:p>
    <w:p>
      <w:pPr>
        <w:pStyle w:val="Compact"/>
        <w:numPr>
          <w:ilvl w:val="0"/>
          <w:numId w:val="1011"/>
        </w:numPr>
      </w:pPr>
      <w:r>
        <w:t xml:space="preserve">TensorFlow and Keras Documentation</w:t>
      </w:r>
    </w:p>
    <w:p>
      <w:pPr>
        <w:pStyle w:val="Compact"/>
        <w:numPr>
          <w:ilvl w:val="0"/>
          <w:numId w:val="1011"/>
        </w:numPr>
      </w:pPr>
      <w:r>
        <w:t xml:space="preserve">Statsmodels Python Library for ARIMA/SARIMA</w:t>
      </w:r>
    </w:p>
    <w:p>
      <w:pPr>
        <w:pStyle w:val="Compact"/>
        <w:numPr>
          <w:ilvl w:val="0"/>
          <w:numId w:val="1011"/>
        </w:numPr>
      </w:pPr>
      <w:r>
        <w:t xml:space="preserve">Time Series Analysis by Chatfield</w:t>
      </w:r>
    </w:p>
    <w:p>
      <w:pPr>
        <w:pStyle w:val="Compact"/>
        <w:numPr>
          <w:ilvl w:val="0"/>
          <w:numId w:val="1011"/>
        </w:numPr>
      </w:pPr>
      <w:r>
        <w:t xml:space="preserve">Deep Learning for Time Series Forecasting by Jason Brownlee</w:t>
      </w:r>
    </w:p>
    <w:p>
      <w:r>
        <w:pict>
          <v:rect style="width:0;height:1.5pt" o:hralign="center" o:hrstd="t" o:hr="t"/>
        </w:pict>
      </w:r>
    </w:p>
    <w:bookmarkEnd w:id="41"/>
    <w:bookmarkStart w:id="42" w:name="appendix"/>
    <w:p>
      <w:pPr>
        <w:pStyle w:val="Heading2"/>
      </w:pPr>
      <w:r>
        <w:t xml:space="preserve">Appendix</w:t>
      </w:r>
    </w:p>
    <w:p>
      <w:pPr>
        <w:pStyle w:val="Compact"/>
        <w:numPr>
          <w:ilvl w:val="0"/>
          <w:numId w:val="1012"/>
        </w:numPr>
      </w:pPr>
      <w:r>
        <w:t xml:space="preserve">Data Preprocessing Code Snippets</w:t>
      </w:r>
    </w:p>
    <w:p>
      <w:pPr>
        <w:pStyle w:val="Compact"/>
        <w:numPr>
          <w:ilvl w:val="0"/>
          <w:numId w:val="1012"/>
        </w:numPr>
      </w:pPr>
      <w:r>
        <w:t xml:space="preserve">ADF Test Output and Interpretation</w:t>
      </w:r>
    </w:p>
    <w:p>
      <w:pPr>
        <w:pStyle w:val="Compact"/>
        <w:numPr>
          <w:ilvl w:val="0"/>
          <w:numId w:val="1012"/>
        </w:numPr>
      </w:pPr>
      <w:r>
        <w:t xml:space="preserve">Seasonal Decomposition Charts</w:t>
      </w:r>
    </w:p>
    <w:p>
      <w:pPr>
        <w:pStyle w:val="Compact"/>
        <w:numPr>
          <w:ilvl w:val="0"/>
          <w:numId w:val="1012"/>
        </w:numPr>
      </w:pPr>
      <w:r>
        <w:t xml:space="preserve">Residual Plots and Model Diagnostics</w:t>
      </w:r>
    </w:p>
    <w:p>
      <w:r>
        <w:pict>
          <v:rect style="width:0;height:1.5pt" o:hralign="center" o:hrstd="t" o:hr="t"/>
        </w:pic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2025-06-15T09:18:32Z</dcterms:created>
  <dcterms:modified xsi:type="dcterms:W3CDTF">2025-06-15T09:18:32Z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