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42BF0" w14:textId="77777777" w:rsidR="00872092" w:rsidRPr="00A76D01" w:rsidRDefault="00000000" w:rsidP="00A76D01">
      <w:pPr>
        <w:pStyle w:val="Title"/>
        <w:jc w:val="center"/>
        <w:rPr>
          <w:rFonts w:ascii="Times New Roman" w:hAnsi="Times New Roman" w:cs="Times New Roman"/>
          <w:b/>
          <w:bCs/>
          <w:color w:val="auto"/>
          <w:sz w:val="44"/>
          <w:szCs w:val="48"/>
        </w:rPr>
      </w:pPr>
      <w:r w:rsidRPr="00A76D01">
        <w:rPr>
          <w:rFonts w:ascii="Times New Roman" w:hAnsi="Times New Roman" w:cs="Times New Roman"/>
          <w:b/>
          <w:bCs/>
          <w:color w:val="auto"/>
          <w:sz w:val="44"/>
          <w:szCs w:val="48"/>
        </w:rPr>
        <w:t>DDOT | Tableau Assessment</w:t>
      </w:r>
    </w:p>
    <w:p w14:paraId="7D7FEB0D" w14:textId="77777777" w:rsidR="00872092" w:rsidRPr="00A76D01" w:rsidRDefault="00000000">
      <w:pPr>
        <w:pStyle w:val="Heading1"/>
        <w:rPr>
          <w:rFonts w:ascii="Times New Roman" w:hAnsi="Times New Roman" w:cs="Times New Roman"/>
          <w:color w:val="auto"/>
        </w:rPr>
      </w:pPr>
      <w:r w:rsidRPr="00A76D01">
        <w:rPr>
          <w:rFonts w:ascii="Times New Roman" w:hAnsi="Times New Roman" w:cs="Times New Roman"/>
          <w:color w:val="auto"/>
        </w:rPr>
        <w:t>Executive summary</w:t>
      </w:r>
    </w:p>
    <w:p w14:paraId="2F6954D9" w14:textId="77777777" w:rsidR="00872092" w:rsidRPr="00A76D01" w:rsidRDefault="00000000" w:rsidP="00A76D01">
      <w:pPr>
        <w:jc w:val="both"/>
        <w:rPr>
          <w:rFonts w:ascii="Times New Roman" w:hAnsi="Times New Roman" w:cs="Times New Roman"/>
        </w:rPr>
      </w:pPr>
      <w:r w:rsidRPr="00A76D01">
        <w:rPr>
          <w:rFonts w:ascii="Times New Roman" w:hAnsi="Times New Roman" w:cs="Times New Roman"/>
        </w:rPr>
        <w:t>The Associate Director of the Public Space Division requested a Tableau workbook measuring average business days to approve new construction permits issued during FY2026, including comparisons by permit type and an additional meaningful segment. We created a permit-level descriptive analysis using Python to extract, validate and transform the DDOT TOPS ArcGIS REST feed, and Tableau to display overall approval time, construction activity comparisons, and monthly application cohorts.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7"/>
        <w:gridCol w:w="4997"/>
      </w:tblGrid>
      <w:tr w:rsidR="00A76D01" w:rsidRPr="00A76D01" w14:paraId="0AC10912" w14:textId="77777777" w:rsidTr="00A76D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top w:val="none" w:sz="0" w:space="0" w:color="auto"/>
              <w:left w:val="none" w:sz="0" w:space="0" w:color="auto"/>
              <w:bottom w:val="none" w:sz="0" w:space="0" w:color="auto"/>
              <w:right w:val="none" w:sz="0" w:space="0" w:color="auto"/>
            </w:tcBorders>
          </w:tcPr>
          <w:p w14:paraId="76E8DDDF"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Metric</w:t>
            </w:r>
          </w:p>
        </w:tc>
        <w:tc>
          <w:tcPr>
            <w:tcW w:w="4997" w:type="dxa"/>
            <w:tcBorders>
              <w:top w:val="none" w:sz="0" w:space="0" w:color="auto"/>
              <w:left w:val="none" w:sz="0" w:space="0" w:color="auto"/>
              <w:bottom w:val="none" w:sz="0" w:space="0" w:color="auto"/>
              <w:right w:val="none" w:sz="0" w:space="0" w:color="auto"/>
            </w:tcBorders>
          </w:tcPr>
          <w:p w14:paraId="5E94BA6E" w14:textId="77777777" w:rsidR="00872092" w:rsidRPr="00A76D0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Preliminary finding</w:t>
            </w:r>
          </w:p>
        </w:tc>
      </w:tr>
      <w:tr w:rsidR="00A76D01" w:rsidRPr="00A76D01" w14:paraId="235C04A2"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left w:val="none" w:sz="0" w:space="0" w:color="auto"/>
              <w:right w:val="none" w:sz="0" w:space="0" w:color="auto"/>
            </w:tcBorders>
          </w:tcPr>
          <w:p w14:paraId="2A85BBBA"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Extracted location records</w:t>
            </w:r>
          </w:p>
        </w:tc>
        <w:tc>
          <w:tcPr>
            <w:tcW w:w="4997" w:type="dxa"/>
            <w:tcBorders>
              <w:left w:val="none" w:sz="0" w:space="0" w:color="auto"/>
              <w:right w:val="none" w:sz="0" w:space="0" w:color="auto"/>
            </w:tcBorders>
          </w:tcPr>
          <w:p w14:paraId="677F8D49"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28,277</w:t>
            </w:r>
          </w:p>
        </w:tc>
      </w:tr>
      <w:tr w:rsidR="00A76D01" w:rsidRPr="00A76D01" w14:paraId="367E7FD8"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1C2A8FE6"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Unique tracking numbers</w:t>
            </w:r>
          </w:p>
        </w:tc>
        <w:tc>
          <w:tcPr>
            <w:tcW w:w="4997" w:type="dxa"/>
          </w:tcPr>
          <w:p w14:paraId="27DF2440"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5,378</w:t>
            </w:r>
          </w:p>
        </w:tc>
      </w:tr>
      <w:tr w:rsidR="00A76D01" w:rsidRPr="00A76D01" w14:paraId="1DB6DEDC"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left w:val="none" w:sz="0" w:space="0" w:color="auto"/>
              <w:right w:val="none" w:sz="0" w:space="0" w:color="auto"/>
            </w:tcBorders>
          </w:tcPr>
          <w:p w14:paraId="2DFB5E15"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Overall mean business days</w:t>
            </w:r>
          </w:p>
        </w:tc>
        <w:tc>
          <w:tcPr>
            <w:tcW w:w="4997" w:type="dxa"/>
            <w:tcBorders>
              <w:left w:val="none" w:sz="0" w:space="0" w:color="auto"/>
              <w:right w:val="none" w:sz="0" w:space="0" w:color="auto"/>
            </w:tcBorders>
          </w:tcPr>
          <w:p w14:paraId="1F551297"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11.40</w:t>
            </w:r>
          </w:p>
        </w:tc>
      </w:tr>
      <w:tr w:rsidR="00A76D01" w:rsidRPr="00A76D01" w14:paraId="1B972CAF"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0B9053A6"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Median / 90th percentile</w:t>
            </w:r>
          </w:p>
        </w:tc>
        <w:tc>
          <w:tcPr>
            <w:tcW w:w="4997" w:type="dxa"/>
          </w:tcPr>
          <w:p w14:paraId="3AE5C3D9"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 / 40 business days</w:t>
            </w:r>
          </w:p>
        </w:tc>
      </w:tr>
      <w:tr w:rsidR="00A76D01" w:rsidRPr="00A76D01" w14:paraId="430E0FA1"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left w:val="none" w:sz="0" w:space="0" w:color="auto"/>
              <w:right w:val="none" w:sz="0" w:space="0" w:color="auto"/>
            </w:tcBorders>
          </w:tcPr>
          <w:p w14:paraId="1199E8AE"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Main output</w:t>
            </w:r>
          </w:p>
        </w:tc>
        <w:tc>
          <w:tcPr>
            <w:tcW w:w="4997" w:type="dxa"/>
            <w:tcBorders>
              <w:left w:val="none" w:sz="0" w:space="0" w:color="auto"/>
              <w:right w:val="none" w:sz="0" w:space="0" w:color="auto"/>
            </w:tcBorders>
          </w:tcPr>
          <w:p w14:paraId="58800A0A"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Three worksheets, optional permit count KPI, one dashboard</w:t>
            </w:r>
          </w:p>
        </w:tc>
      </w:tr>
    </w:tbl>
    <w:p w14:paraId="0D7A5FD8" w14:textId="77777777" w:rsidR="00872092" w:rsidRPr="00A76D01" w:rsidRDefault="00000000">
      <w:pPr>
        <w:rPr>
          <w:rFonts w:ascii="Times New Roman" w:hAnsi="Times New Roman" w:cs="Times New Roman"/>
        </w:rPr>
      </w:pPr>
      <w:r w:rsidRPr="00A76D01">
        <w:rPr>
          <w:rFonts w:ascii="Times New Roman" w:hAnsi="Times New Roman" w:cs="Times New Roman"/>
        </w:rPr>
        <w:t>Interpretation caution: the measure uses LastApprovalDate provisionally, and monthly cohorts are subject to selection bias because only permits issued during FY2026 appear in the sample.</w:t>
      </w:r>
    </w:p>
    <w:p w14:paraId="27ABB998" w14:textId="0CDC5B0E" w:rsidR="00872092" w:rsidRPr="00A76D01" w:rsidRDefault="00A76D01">
      <w:pPr>
        <w:pStyle w:val="Heading1"/>
        <w:rPr>
          <w:rFonts w:ascii="Times New Roman" w:hAnsi="Times New Roman" w:cs="Times New Roman"/>
          <w:color w:val="auto"/>
        </w:rPr>
      </w:pPr>
      <w:r>
        <w:rPr>
          <w:rFonts w:ascii="Times New Roman" w:hAnsi="Times New Roman" w:cs="Times New Roman"/>
          <w:color w:val="auto"/>
        </w:rPr>
        <w:t>1</w:t>
      </w:r>
      <w:r w:rsidR="00000000" w:rsidRPr="00A76D01">
        <w:rPr>
          <w:rFonts w:ascii="Times New Roman" w:hAnsi="Times New Roman" w:cs="Times New Roman"/>
          <w:color w:val="auto"/>
        </w:rPr>
        <w:t>. Why Python and Tableau were used together</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1"/>
        <w:gridCol w:w="3331"/>
        <w:gridCol w:w="3331"/>
      </w:tblGrid>
      <w:tr w:rsidR="00A76D01" w:rsidRPr="00A76D01" w14:paraId="51B9CAAA" w14:textId="77777777" w:rsidTr="00A76D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top w:val="none" w:sz="0" w:space="0" w:color="auto"/>
              <w:left w:val="none" w:sz="0" w:space="0" w:color="auto"/>
              <w:bottom w:val="none" w:sz="0" w:space="0" w:color="auto"/>
              <w:right w:val="none" w:sz="0" w:space="0" w:color="auto"/>
            </w:tcBorders>
          </w:tcPr>
          <w:p w14:paraId="01FBC4FA"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Tool</w:t>
            </w:r>
          </w:p>
        </w:tc>
        <w:tc>
          <w:tcPr>
            <w:tcW w:w="3331" w:type="dxa"/>
            <w:tcBorders>
              <w:top w:val="none" w:sz="0" w:space="0" w:color="auto"/>
              <w:left w:val="none" w:sz="0" w:space="0" w:color="auto"/>
              <w:bottom w:val="none" w:sz="0" w:space="0" w:color="auto"/>
              <w:right w:val="none" w:sz="0" w:space="0" w:color="auto"/>
            </w:tcBorders>
          </w:tcPr>
          <w:p w14:paraId="32C06C9C" w14:textId="77777777" w:rsidR="00872092" w:rsidRPr="00A76D0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Responsibility</w:t>
            </w:r>
          </w:p>
        </w:tc>
        <w:tc>
          <w:tcPr>
            <w:tcW w:w="3331" w:type="dxa"/>
            <w:tcBorders>
              <w:top w:val="none" w:sz="0" w:space="0" w:color="auto"/>
              <w:left w:val="none" w:sz="0" w:space="0" w:color="auto"/>
              <w:bottom w:val="none" w:sz="0" w:space="0" w:color="auto"/>
              <w:right w:val="none" w:sz="0" w:space="0" w:color="auto"/>
            </w:tcBorders>
          </w:tcPr>
          <w:p w14:paraId="1B136296" w14:textId="77777777" w:rsidR="00872092" w:rsidRPr="00A76D0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Reason</w:t>
            </w:r>
          </w:p>
        </w:tc>
      </w:tr>
      <w:tr w:rsidR="00A76D01" w:rsidRPr="00A76D01" w14:paraId="4213A173"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5FA0C21C"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Python / requests</w:t>
            </w:r>
          </w:p>
        </w:tc>
        <w:tc>
          <w:tcPr>
            <w:tcW w:w="3331" w:type="dxa"/>
            <w:tcBorders>
              <w:left w:val="none" w:sz="0" w:space="0" w:color="auto"/>
              <w:right w:val="none" w:sz="0" w:space="0" w:color="auto"/>
            </w:tcBorders>
          </w:tcPr>
          <w:p w14:paraId="35438AA8"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ArcGIS REST data retrieval</w:t>
            </w:r>
          </w:p>
        </w:tc>
        <w:tc>
          <w:tcPr>
            <w:tcW w:w="3331" w:type="dxa"/>
            <w:tcBorders>
              <w:left w:val="none" w:sz="0" w:space="0" w:color="auto"/>
              <w:right w:val="none" w:sz="0" w:space="0" w:color="auto"/>
            </w:tcBorders>
          </w:tcPr>
          <w:p w14:paraId="7B2B2ABD"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Automated extraction, pagination, retry handling and request length control</w:t>
            </w:r>
          </w:p>
        </w:tc>
      </w:tr>
      <w:tr w:rsidR="00A76D01" w:rsidRPr="00A76D01" w14:paraId="122F6865"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06259E4F"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Python / pandas</w:t>
            </w:r>
          </w:p>
        </w:tc>
        <w:tc>
          <w:tcPr>
            <w:tcW w:w="3331" w:type="dxa"/>
          </w:tcPr>
          <w:p w14:paraId="6C36F4E5"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Entity-level QA and data transformations</w:t>
            </w:r>
          </w:p>
        </w:tc>
        <w:tc>
          <w:tcPr>
            <w:tcW w:w="3331" w:type="dxa"/>
          </w:tcPr>
          <w:p w14:paraId="135DD7E0"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Reproducible deduplication review, dates, groups and audit outputs</w:t>
            </w:r>
          </w:p>
        </w:tc>
      </w:tr>
      <w:tr w:rsidR="00A76D01" w:rsidRPr="00A76D01" w14:paraId="54722DE4"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3FC4B120"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Python / NumPy</w:t>
            </w:r>
          </w:p>
        </w:tc>
        <w:tc>
          <w:tcPr>
            <w:tcW w:w="3331" w:type="dxa"/>
            <w:tcBorders>
              <w:left w:val="none" w:sz="0" w:space="0" w:color="auto"/>
              <w:right w:val="none" w:sz="0" w:space="0" w:color="auto"/>
            </w:tcBorders>
          </w:tcPr>
          <w:p w14:paraId="77CBE892"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Business-day interval calculation</w:t>
            </w:r>
          </w:p>
        </w:tc>
        <w:tc>
          <w:tcPr>
            <w:tcW w:w="3331" w:type="dxa"/>
            <w:tcBorders>
              <w:left w:val="none" w:sz="0" w:space="0" w:color="auto"/>
              <w:right w:val="none" w:sz="0" w:space="0" w:color="auto"/>
            </w:tcBorders>
          </w:tcPr>
          <w:p w14:paraId="64A621F9"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Explicit weekend and DC holiday exclusion</w:t>
            </w:r>
          </w:p>
        </w:tc>
      </w:tr>
      <w:tr w:rsidR="00A76D01" w:rsidRPr="00A76D01" w14:paraId="76200037"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3B5754E7"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Tableau</w:t>
            </w:r>
          </w:p>
        </w:tc>
        <w:tc>
          <w:tcPr>
            <w:tcW w:w="3331" w:type="dxa"/>
          </w:tcPr>
          <w:p w14:paraId="2060E9ED"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Visual analysis and presentation</w:t>
            </w:r>
          </w:p>
        </w:tc>
        <w:tc>
          <w:tcPr>
            <w:tcW w:w="3331" w:type="dxa"/>
          </w:tcPr>
          <w:p w14:paraId="40FAF1EE"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Interactive worksheet aggregation, labels, tooltips and director-facing dashboard</w:t>
            </w:r>
          </w:p>
        </w:tc>
      </w:tr>
    </w:tbl>
    <w:p w14:paraId="44B52621" w14:textId="4E16FF54" w:rsidR="00872092" w:rsidRPr="00A76D01" w:rsidRDefault="00A76D01">
      <w:pPr>
        <w:pStyle w:val="Heading1"/>
        <w:rPr>
          <w:rFonts w:ascii="Times New Roman" w:hAnsi="Times New Roman" w:cs="Times New Roman"/>
          <w:color w:val="auto"/>
        </w:rPr>
      </w:pPr>
      <w:r>
        <w:rPr>
          <w:rFonts w:ascii="Times New Roman" w:hAnsi="Times New Roman" w:cs="Times New Roman"/>
          <w:color w:val="auto"/>
        </w:rPr>
        <w:t>2</w:t>
      </w:r>
      <w:r w:rsidR="00000000" w:rsidRPr="00A76D01">
        <w:rPr>
          <w:rFonts w:ascii="Times New Roman" w:hAnsi="Times New Roman" w:cs="Times New Roman"/>
          <w:color w:val="auto"/>
        </w:rPr>
        <w:t>. Full processing history: from start to Tableau</w:t>
      </w:r>
    </w:p>
    <w:p w14:paraId="7484AC68" w14:textId="5DAD7A94"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t>Extract FY2026 candidate records</w:t>
      </w:r>
    </w:p>
    <w:p w14:paraId="20D70B9E" w14:textId="77777777" w:rsidR="00872092" w:rsidRPr="00A76D01" w:rsidRDefault="00000000" w:rsidP="00A76D01">
      <w:pPr>
        <w:jc w:val="both"/>
        <w:rPr>
          <w:rFonts w:ascii="Times New Roman" w:hAnsi="Times New Roman" w:cs="Times New Roman"/>
        </w:rPr>
      </w:pPr>
      <w:r w:rsidRPr="00A76D01">
        <w:rPr>
          <w:rFonts w:ascii="Times New Roman" w:hAnsi="Times New Roman" w:cs="Times New Roman"/>
        </w:rPr>
        <w:t>The script step1_extract_audit.py queried server-side matching record counts and OBJECTIDs, then retrieved selected attributes in batches. Initial requests listing about 2,000 IDs produced HTTP 414 (Request-URI Too Long). The corrected script uses 150 OBJECTIDs per GET request, with retries, to avoid oversized URLs. It saves the candidate CSV and audit_summary.json. Extracted count: 28,277 rows.</w:t>
      </w:r>
    </w:p>
    <w:p w14:paraId="74E56D5C" w14:textId="57AAE3DE"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t>Identify duplicated location records</w:t>
      </w:r>
    </w:p>
    <w:p w14:paraId="20A14EC5" w14:textId="77777777" w:rsidR="00872092" w:rsidRPr="00A76D01" w:rsidRDefault="00000000" w:rsidP="00A76D01">
      <w:pPr>
        <w:jc w:val="both"/>
        <w:rPr>
          <w:rFonts w:ascii="Times New Roman" w:hAnsi="Times New Roman" w:cs="Times New Roman"/>
        </w:rPr>
      </w:pPr>
      <w:r w:rsidRPr="00A76D01">
        <w:rPr>
          <w:rFonts w:ascii="Times New Roman" w:hAnsi="Times New Roman" w:cs="Times New Roman"/>
        </w:rPr>
        <w:t>The 28,277 rows contained 5,378 distinct tracking numbers. A review found 22,808 exact repeated records when excluding OBJECTID and 36 permits associated with multiple wards. Raw-row weighting gave an existing DaysToApprove average of 26.35 days, while permit-level averaging gave 16.39, demonstrating why repeated rows distort metrics. The workflow created fy26_permit_level_preliminary.csv and permit_ward_relationships.csv. No separate executable review/deduplication script was retained, so full reproducibility from the raw file is a documented gap.</w:t>
      </w:r>
    </w:p>
    <w:p w14:paraId="6757A837" w14:textId="2F4E4BA0"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t>Calculate business-day approval time</w:t>
      </w:r>
    </w:p>
    <w:p w14:paraId="28DD3F37" w14:textId="77777777" w:rsidR="00872092" w:rsidRPr="00A76D01" w:rsidRDefault="00000000" w:rsidP="00A76D01">
      <w:pPr>
        <w:jc w:val="both"/>
        <w:rPr>
          <w:rFonts w:ascii="Times New Roman" w:hAnsi="Times New Roman" w:cs="Times New Roman"/>
        </w:rPr>
      </w:pPr>
      <w:r w:rsidRPr="00A76D01">
        <w:rPr>
          <w:rFonts w:ascii="Times New Roman" w:hAnsi="Times New Roman" w:cs="Times New Roman"/>
        </w:rPr>
        <w:t>The script step2_business_days.py calculates ApprovalBusinessDays from ApplicationDate through LastApprovalDate using a Monday–Friday NumPy calendar excluding explicitly coded observed DC holidays. It excludes the application date, includes a valid approval weekday, and defines same-day approvals as zero. It generates a per-permit CSV and audit. For the 5,378 records, the computed mean was 11.40 business days, median 1, 90th percentile 40, and 107 records exceeded 90 business days. No invalid application-to-approval dates were identified.</w:t>
      </w:r>
    </w:p>
    <w:p w14:paraId="4ACEF6C6" w14:textId="3DAE227C"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lastRenderedPageBreak/>
        <w:t>Cross-check source duration fields</w:t>
      </w:r>
    </w:p>
    <w:p w14:paraId="00DDE2F3" w14:textId="77777777" w:rsidR="00872092" w:rsidRPr="00A76D01" w:rsidRDefault="00000000" w:rsidP="00A76D01">
      <w:pPr>
        <w:jc w:val="both"/>
        <w:rPr>
          <w:rFonts w:ascii="Times New Roman" w:hAnsi="Times New Roman" w:cs="Times New Roman"/>
        </w:rPr>
      </w:pPr>
      <w:r w:rsidRPr="00A76D01">
        <w:rPr>
          <w:rFonts w:ascii="Times New Roman" w:hAnsi="Times New Roman" w:cs="Times New Roman"/>
        </w:rPr>
        <w:t>Compared DDOT DaysToApprove to (a) calendar-day difference and (b) calculated business days. Calendar-day differences matched 4,939 source values; 439 did not. Business-day values matched 3,320 and differed for 2,058. A 37-case exception file was prepared. These comparisons indicate the source field cannot be assumed equivalent to the required custom metric, but do not prove source records are erroneous. Independent TOPS permit-history confirmation remains outstanding.</w:t>
      </w:r>
    </w:p>
    <w:p w14:paraId="5B582FA9" w14:textId="79AF6A6B"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t>Derive construction activity groups</w:t>
      </w:r>
    </w:p>
    <w:p w14:paraId="612946C0" w14:textId="77777777" w:rsidR="00872092" w:rsidRPr="00A76D01" w:rsidRDefault="00000000" w:rsidP="00A76D01">
      <w:pPr>
        <w:jc w:val="both"/>
        <w:rPr>
          <w:rFonts w:ascii="Times New Roman" w:hAnsi="Times New Roman" w:cs="Times New Roman"/>
        </w:rPr>
      </w:pPr>
      <w:r w:rsidRPr="00A76D01">
        <w:rPr>
          <w:rFonts w:ascii="Times New Roman" w:hAnsi="Times New Roman" w:cs="Times New Roman"/>
        </w:rPr>
        <w:t>step4_classify_permits.py processes TypeDetailNames as comma-separated activities with 'Category; Description' patterns. It extracts distinct category prefixes; single-category permits receive the family, while permits with multiple families receive 'Multiple activity categories'. This provides mutually exclusive grouping for permit-level comparison. The output includes a final preliminary CSV, category and monthly summary files and a category audit.</w:t>
      </w:r>
    </w:p>
    <w:p w14:paraId="078C2FAF" w14:textId="3A69A2D4"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t>Connect the main CSV in Tableau</w:t>
      </w:r>
    </w:p>
    <w:p w14:paraId="280E10B0" w14:textId="77777777" w:rsidR="00872092" w:rsidRPr="00A76D01" w:rsidRDefault="00000000">
      <w:pPr>
        <w:rPr>
          <w:rFonts w:ascii="Times New Roman" w:hAnsi="Times New Roman" w:cs="Times New Roman"/>
        </w:rPr>
      </w:pPr>
      <w:r w:rsidRPr="00A76D01">
        <w:rPr>
          <w:rFonts w:ascii="Times New Roman" w:hAnsi="Times New Roman" w:cs="Times New Roman"/>
        </w:rPr>
        <w:t>Tableau Desktop connects to tableau_permit_analysis_preliminary.csv using Text File. TrackingNumber should be text; ApprovalBusinessDays numeric; ActivityCategory text; ApplicationMonthStart date. Summary CSVs were retained for independent validation rather than brought into the Tableau data model.</w:t>
      </w:r>
    </w:p>
    <w:p w14:paraId="3EA2E7AF" w14:textId="19623F74"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t xml:space="preserve">Category worksheet </w:t>
      </w:r>
    </w:p>
    <w:p w14:paraId="0A9F03D0" w14:textId="77777777" w:rsidR="00872092" w:rsidRPr="00A76D01" w:rsidRDefault="00000000">
      <w:pPr>
        <w:rPr>
          <w:rFonts w:ascii="Times New Roman" w:hAnsi="Times New Roman" w:cs="Times New Roman"/>
        </w:rPr>
      </w:pPr>
      <w:r w:rsidRPr="00A76D01">
        <w:rPr>
          <w:rFonts w:ascii="Times New Roman" w:hAnsi="Times New Roman" w:cs="Times New Roman"/>
        </w:rPr>
        <w:t>Category worksheet: ActivityCategory on Rows and AVG(ApprovalBusinessDays) on Columns, Bar marks, descending average, numeric labels and distinct tracking count in tooltip. Mega Projects and PS Rental have one permit each and were omitted from the category chart only. Monthly worksheet: continuous MONTH(ApplicationMonthStart) on Columns, AVG(ApprovalBusinessDays) on Rows, Line marks and distinct count in tooltips. An overall text KPI uses AVG(ApprovalBusinessDays), and a second KPI uses COUNTD(TrackingNumber).</w:t>
      </w:r>
    </w:p>
    <w:p w14:paraId="1161F0DF" w14:textId="12EB476C" w:rsidR="00872092" w:rsidRPr="00A76D01" w:rsidRDefault="00000000">
      <w:pPr>
        <w:pStyle w:val="Heading2"/>
        <w:rPr>
          <w:rFonts w:ascii="Times New Roman" w:hAnsi="Times New Roman" w:cs="Times New Roman"/>
          <w:color w:val="auto"/>
        </w:rPr>
      </w:pPr>
      <w:r w:rsidRPr="00A76D01">
        <w:rPr>
          <w:rFonts w:ascii="Times New Roman" w:hAnsi="Times New Roman" w:cs="Times New Roman"/>
          <w:color w:val="auto"/>
        </w:rPr>
        <w:t>Build and refine the dashboard</w:t>
      </w:r>
    </w:p>
    <w:p w14:paraId="7562583A" w14:textId="77777777" w:rsidR="00872092" w:rsidRPr="00A76D01" w:rsidRDefault="00000000">
      <w:pPr>
        <w:rPr>
          <w:rFonts w:ascii="Times New Roman" w:hAnsi="Times New Roman" w:cs="Times New Roman"/>
        </w:rPr>
      </w:pPr>
      <w:r w:rsidRPr="00A76D01">
        <w:rPr>
          <w:rFonts w:ascii="Times New Roman" w:hAnsi="Times New Roman" w:cs="Times New Roman"/>
        </w:rPr>
        <w:t>A tiled dashboard includes a title, two KPI worksheets side by side in a Horizontal Container, the category bar chart, monthly trend, key findings and a methodology note. Iterative formatting fixed oversized containers, truncated labels, incorrectly aligned KPI text, scrollbars, and text objects compressing charts. The dashboard screenshot development was ongoing; final spacing, chart visibility and filter behavior must be checked in the saved Tableau file.</w:t>
      </w:r>
    </w:p>
    <w:p w14:paraId="58DF9245" w14:textId="48A7B4EF" w:rsidR="00872092" w:rsidRPr="00A76D01" w:rsidRDefault="00A76D01">
      <w:pPr>
        <w:pStyle w:val="Heading1"/>
        <w:rPr>
          <w:rFonts w:ascii="Times New Roman" w:hAnsi="Times New Roman" w:cs="Times New Roman"/>
          <w:color w:val="auto"/>
        </w:rPr>
      </w:pPr>
      <w:r>
        <w:rPr>
          <w:rFonts w:ascii="Times New Roman" w:hAnsi="Times New Roman" w:cs="Times New Roman"/>
          <w:color w:val="auto"/>
        </w:rPr>
        <w:t>3</w:t>
      </w:r>
      <w:r w:rsidR="00000000" w:rsidRPr="00A76D01">
        <w:rPr>
          <w:rFonts w:ascii="Times New Roman" w:hAnsi="Times New Roman" w:cs="Times New Roman"/>
          <w:color w:val="auto"/>
        </w:rPr>
        <w:t>. Category findings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1"/>
        <w:gridCol w:w="3331"/>
        <w:gridCol w:w="3331"/>
      </w:tblGrid>
      <w:tr w:rsidR="00A76D01" w:rsidRPr="00A76D01" w14:paraId="14E66491" w14:textId="77777777" w:rsidTr="00A76D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top w:val="none" w:sz="0" w:space="0" w:color="auto"/>
              <w:left w:val="none" w:sz="0" w:space="0" w:color="auto"/>
              <w:bottom w:val="none" w:sz="0" w:space="0" w:color="auto"/>
              <w:right w:val="none" w:sz="0" w:space="0" w:color="auto"/>
            </w:tcBorders>
          </w:tcPr>
          <w:p w14:paraId="13FB3BCF"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Activity family</w:t>
            </w:r>
          </w:p>
        </w:tc>
        <w:tc>
          <w:tcPr>
            <w:tcW w:w="3331" w:type="dxa"/>
            <w:tcBorders>
              <w:top w:val="none" w:sz="0" w:space="0" w:color="auto"/>
              <w:left w:val="none" w:sz="0" w:space="0" w:color="auto"/>
              <w:bottom w:val="none" w:sz="0" w:space="0" w:color="auto"/>
              <w:right w:val="none" w:sz="0" w:space="0" w:color="auto"/>
            </w:tcBorders>
          </w:tcPr>
          <w:p w14:paraId="28322667" w14:textId="77777777" w:rsidR="00872092" w:rsidRPr="00A76D0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Permits</w:t>
            </w:r>
          </w:p>
        </w:tc>
        <w:tc>
          <w:tcPr>
            <w:tcW w:w="3331" w:type="dxa"/>
            <w:tcBorders>
              <w:top w:val="none" w:sz="0" w:space="0" w:color="auto"/>
              <w:left w:val="none" w:sz="0" w:space="0" w:color="auto"/>
              <w:bottom w:val="none" w:sz="0" w:space="0" w:color="auto"/>
              <w:right w:val="none" w:sz="0" w:space="0" w:color="auto"/>
            </w:tcBorders>
          </w:tcPr>
          <w:p w14:paraId="26F80BB8" w14:textId="77777777" w:rsidR="00872092" w:rsidRPr="00A76D0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Average business days</w:t>
            </w:r>
          </w:p>
        </w:tc>
      </w:tr>
      <w:tr w:rsidR="00A76D01" w:rsidRPr="00A76D01" w14:paraId="2575B584"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65ACD688"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Excavation</w:t>
            </w:r>
          </w:p>
        </w:tc>
        <w:tc>
          <w:tcPr>
            <w:tcW w:w="3331" w:type="dxa"/>
            <w:tcBorders>
              <w:left w:val="none" w:sz="0" w:space="0" w:color="auto"/>
              <w:right w:val="none" w:sz="0" w:space="0" w:color="auto"/>
            </w:tcBorders>
          </w:tcPr>
          <w:p w14:paraId="32AF00AA"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4,538</w:t>
            </w:r>
          </w:p>
        </w:tc>
        <w:tc>
          <w:tcPr>
            <w:tcW w:w="3331" w:type="dxa"/>
            <w:tcBorders>
              <w:left w:val="none" w:sz="0" w:space="0" w:color="auto"/>
              <w:right w:val="none" w:sz="0" w:space="0" w:color="auto"/>
            </w:tcBorders>
          </w:tcPr>
          <w:p w14:paraId="7EB94AC0"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10.89</w:t>
            </w:r>
          </w:p>
        </w:tc>
      </w:tr>
      <w:tr w:rsidR="00A76D01" w:rsidRPr="00A76D01" w14:paraId="142DDEB1"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2FC155E8"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Multiple activity categories</w:t>
            </w:r>
          </w:p>
        </w:tc>
        <w:tc>
          <w:tcPr>
            <w:tcW w:w="3331" w:type="dxa"/>
          </w:tcPr>
          <w:p w14:paraId="27096DAA"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399</w:t>
            </w:r>
          </w:p>
        </w:tc>
        <w:tc>
          <w:tcPr>
            <w:tcW w:w="3331" w:type="dxa"/>
          </w:tcPr>
          <w:p w14:paraId="2FC0D811"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13.70</w:t>
            </w:r>
          </w:p>
        </w:tc>
      </w:tr>
      <w:tr w:rsidR="00A76D01" w:rsidRPr="00A76D01" w14:paraId="6C41BE48"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3EC4EFF6"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Over Head Work</w:t>
            </w:r>
          </w:p>
        </w:tc>
        <w:tc>
          <w:tcPr>
            <w:tcW w:w="3331" w:type="dxa"/>
            <w:tcBorders>
              <w:left w:val="none" w:sz="0" w:space="0" w:color="auto"/>
              <w:right w:val="none" w:sz="0" w:space="0" w:color="auto"/>
            </w:tcBorders>
          </w:tcPr>
          <w:p w14:paraId="24368B08"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202</w:t>
            </w:r>
          </w:p>
        </w:tc>
        <w:tc>
          <w:tcPr>
            <w:tcW w:w="3331" w:type="dxa"/>
            <w:tcBorders>
              <w:left w:val="none" w:sz="0" w:space="0" w:color="auto"/>
              <w:right w:val="none" w:sz="0" w:space="0" w:color="auto"/>
            </w:tcBorders>
          </w:tcPr>
          <w:p w14:paraId="5B808380"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8.39</w:t>
            </w:r>
          </w:p>
        </w:tc>
      </w:tr>
      <w:tr w:rsidR="00A76D01" w:rsidRPr="00A76D01" w14:paraId="47254303"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312DC8DE"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Paving</w:t>
            </w:r>
          </w:p>
        </w:tc>
        <w:tc>
          <w:tcPr>
            <w:tcW w:w="3331" w:type="dxa"/>
          </w:tcPr>
          <w:p w14:paraId="447FB81A"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97</w:t>
            </w:r>
          </w:p>
        </w:tc>
        <w:tc>
          <w:tcPr>
            <w:tcW w:w="3331" w:type="dxa"/>
          </w:tcPr>
          <w:p w14:paraId="72C693E9"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18.77</w:t>
            </w:r>
          </w:p>
        </w:tc>
      </w:tr>
      <w:tr w:rsidR="00A76D01" w:rsidRPr="00A76D01" w14:paraId="1C402D01"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7B889D2F"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Fixture</w:t>
            </w:r>
          </w:p>
        </w:tc>
        <w:tc>
          <w:tcPr>
            <w:tcW w:w="3331" w:type="dxa"/>
            <w:tcBorders>
              <w:left w:val="none" w:sz="0" w:space="0" w:color="auto"/>
              <w:right w:val="none" w:sz="0" w:space="0" w:color="auto"/>
            </w:tcBorders>
          </w:tcPr>
          <w:p w14:paraId="4302FEC6"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94</w:t>
            </w:r>
          </w:p>
        </w:tc>
        <w:tc>
          <w:tcPr>
            <w:tcW w:w="3331" w:type="dxa"/>
            <w:tcBorders>
              <w:left w:val="none" w:sz="0" w:space="0" w:color="auto"/>
              <w:right w:val="none" w:sz="0" w:space="0" w:color="auto"/>
            </w:tcBorders>
          </w:tcPr>
          <w:p w14:paraId="64F4BE94"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22.55</w:t>
            </w:r>
          </w:p>
        </w:tc>
      </w:tr>
      <w:tr w:rsidR="00A76D01" w:rsidRPr="00A76D01" w14:paraId="583946EC"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650B2ECA"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Projections</w:t>
            </w:r>
          </w:p>
        </w:tc>
        <w:tc>
          <w:tcPr>
            <w:tcW w:w="3331" w:type="dxa"/>
          </w:tcPr>
          <w:p w14:paraId="790EFAC2"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26</w:t>
            </w:r>
          </w:p>
        </w:tc>
        <w:tc>
          <w:tcPr>
            <w:tcW w:w="3331" w:type="dxa"/>
          </w:tcPr>
          <w:p w14:paraId="4EB6DC96"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12.69</w:t>
            </w:r>
          </w:p>
        </w:tc>
      </w:tr>
      <w:tr w:rsidR="00A76D01" w:rsidRPr="00A76D01" w14:paraId="245E0F91"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2862C32C"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Landscaping</w:t>
            </w:r>
          </w:p>
        </w:tc>
        <w:tc>
          <w:tcPr>
            <w:tcW w:w="3331" w:type="dxa"/>
            <w:tcBorders>
              <w:left w:val="none" w:sz="0" w:space="0" w:color="auto"/>
              <w:right w:val="none" w:sz="0" w:space="0" w:color="auto"/>
            </w:tcBorders>
          </w:tcPr>
          <w:p w14:paraId="6FE636FD"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20</w:t>
            </w:r>
          </w:p>
        </w:tc>
        <w:tc>
          <w:tcPr>
            <w:tcW w:w="3331" w:type="dxa"/>
            <w:tcBorders>
              <w:left w:val="none" w:sz="0" w:space="0" w:color="auto"/>
              <w:right w:val="none" w:sz="0" w:space="0" w:color="auto"/>
            </w:tcBorders>
          </w:tcPr>
          <w:p w14:paraId="6DD8771A"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23.90</w:t>
            </w:r>
          </w:p>
        </w:tc>
      </w:tr>
      <w:tr w:rsidR="00A76D01" w:rsidRPr="00A76D01" w14:paraId="441C404B"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787EF8A"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Mega Projects</w:t>
            </w:r>
          </w:p>
        </w:tc>
        <w:tc>
          <w:tcPr>
            <w:tcW w:w="3331" w:type="dxa"/>
          </w:tcPr>
          <w:p w14:paraId="44FD4E02"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w:t>
            </w:r>
          </w:p>
        </w:tc>
        <w:tc>
          <w:tcPr>
            <w:tcW w:w="3331" w:type="dxa"/>
          </w:tcPr>
          <w:p w14:paraId="44A68A81"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0.00</w:t>
            </w:r>
          </w:p>
        </w:tc>
      </w:tr>
      <w:tr w:rsidR="00A76D01" w:rsidRPr="00A76D01" w14:paraId="44D25FD7"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0ADB5763"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PS Rental</w:t>
            </w:r>
          </w:p>
        </w:tc>
        <w:tc>
          <w:tcPr>
            <w:tcW w:w="3331" w:type="dxa"/>
            <w:tcBorders>
              <w:left w:val="none" w:sz="0" w:space="0" w:color="auto"/>
              <w:right w:val="none" w:sz="0" w:space="0" w:color="auto"/>
            </w:tcBorders>
          </w:tcPr>
          <w:p w14:paraId="1BB43826"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w:t>
            </w:r>
          </w:p>
        </w:tc>
        <w:tc>
          <w:tcPr>
            <w:tcW w:w="3331" w:type="dxa"/>
            <w:tcBorders>
              <w:left w:val="none" w:sz="0" w:space="0" w:color="auto"/>
              <w:right w:val="none" w:sz="0" w:space="0" w:color="auto"/>
            </w:tcBorders>
          </w:tcPr>
          <w:p w14:paraId="6BDAD2B5"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0.00</w:t>
            </w:r>
          </w:p>
        </w:tc>
      </w:tr>
    </w:tbl>
    <w:p w14:paraId="55B39F22" w14:textId="77777777" w:rsidR="00872092" w:rsidRDefault="00000000">
      <w:pPr>
        <w:rPr>
          <w:rFonts w:ascii="Times New Roman" w:hAnsi="Times New Roman" w:cs="Times New Roman"/>
        </w:rPr>
      </w:pPr>
      <w:r w:rsidRPr="00A76D01">
        <w:rPr>
          <w:rFonts w:ascii="Times New Roman" w:hAnsi="Times New Roman" w:cs="Times New Roman"/>
        </w:rPr>
        <w:t>Excavation is the dominant group: 4,538 of 5,378 permits (~84.4%). Fixture and Paving have higher observed category averages (22.55 and 18.77) than Excavation (10.89). These comparisons do not establish causes of differences. Small categories should not be overinterpreted.</w:t>
      </w:r>
    </w:p>
    <w:p w14:paraId="62C726F8" w14:textId="77777777" w:rsidR="00A76D01" w:rsidRDefault="00A76D01">
      <w:pPr>
        <w:rPr>
          <w:rFonts w:ascii="Times New Roman" w:hAnsi="Times New Roman" w:cs="Times New Roman"/>
        </w:rPr>
      </w:pPr>
    </w:p>
    <w:p w14:paraId="5ABF5265" w14:textId="77777777" w:rsidR="00A76D01" w:rsidRDefault="00A76D01">
      <w:pPr>
        <w:rPr>
          <w:rFonts w:ascii="Times New Roman" w:hAnsi="Times New Roman" w:cs="Times New Roman"/>
        </w:rPr>
      </w:pPr>
    </w:p>
    <w:p w14:paraId="4E298AE4" w14:textId="77777777" w:rsidR="00A76D01" w:rsidRPr="00A76D01" w:rsidRDefault="00A76D01">
      <w:pPr>
        <w:rPr>
          <w:rFonts w:ascii="Times New Roman" w:hAnsi="Times New Roman" w:cs="Times New Roman"/>
        </w:rPr>
      </w:pPr>
    </w:p>
    <w:p w14:paraId="66ECC7FF" w14:textId="5B41B135" w:rsidR="00872092" w:rsidRPr="00A76D01" w:rsidRDefault="00A76D01">
      <w:pPr>
        <w:pStyle w:val="Heading1"/>
        <w:rPr>
          <w:rFonts w:ascii="Times New Roman" w:hAnsi="Times New Roman" w:cs="Times New Roman"/>
          <w:color w:val="auto"/>
        </w:rPr>
      </w:pPr>
      <w:r>
        <w:rPr>
          <w:rFonts w:ascii="Times New Roman" w:hAnsi="Times New Roman" w:cs="Times New Roman"/>
          <w:color w:val="auto"/>
        </w:rPr>
        <w:lastRenderedPageBreak/>
        <w:t>4</w:t>
      </w:r>
      <w:r w:rsidR="00000000" w:rsidRPr="00A76D01">
        <w:rPr>
          <w:rFonts w:ascii="Times New Roman" w:hAnsi="Times New Roman" w:cs="Times New Roman"/>
          <w:color w:val="auto"/>
        </w:rPr>
        <w:t>. Monthly cohort results and interpretation</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1"/>
        <w:gridCol w:w="3331"/>
        <w:gridCol w:w="3331"/>
      </w:tblGrid>
      <w:tr w:rsidR="00A76D01" w:rsidRPr="00A76D01" w14:paraId="3ACE1C52" w14:textId="77777777" w:rsidTr="00A76D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top w:val="none" w:sz="0" w:space="0" w:color="auto"/>
              <w:left w:val="none" w:sz="0" w:space="0" w:color="auto"/>
              <w:bottom w:val="none" w:sz="0" w:space="0" w:color="auto"/>
              <w:right w:val="none" w:sz="0" w:space="0" w:color="auto"/>
            </w:tcBorders>
          </w:tcPr>
          <w:p w14:paraId="24C16A04"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Application month</w:t>
            </w:r>
          </w:p>
        </w:tc>
        <w:tc>
          <w:tcPr>
            <w:tcW w:w="3331" w:type="dxa"/>
            <w:tcBorders>
              <w:top w:val="none" w:sz="0" w:space="0" w:color="auto"/>
              <w:left w:val="none" w:sz="0" w:space="0" w:color="auto"/>
              <w:bottom w:val="none" w:sz="0" w:space="0" w:color="auto"/>
              <w:right w:val="none" w:sz="0" w:space="0" w:color="auto"/>
            </w:tcBorders>
          </w:tcPr>
          <w:p w14:paraId="2B0CCFE8" w14:textId="77777777" w:rsidR="00872092" w:rsidRPr="00A76D0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Permits</w:t>
            </w:r>
          </w:p>
        </w:tc>
        <w:tc>
          <w:tcPr>
            <w:tcW w:w="3331" w:type="dxa"/>
            <w:tcBorders>
              <w:top w:val="none" w:sz="0" w:space="0" w:color="auto"/>
              <w:left w:val="none" w:sz="0" w:space="0" w:color="auto"/>
              <w:bottom w:val="none" w:sz="0" w:space="0" w:color="auto"/>
              <w:right w:val="none" w:sz="0" w:space="0" w:color="auto"/>
            </w:tcBorders>
          </w:tcPr>
          <w:p w14:paraId="2590B074" w14:textId="77777777" w:rsidR="00872092" w:rsidRPr="00A76D0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Average business days</w:t>
            </w:r>
          </w:p>
        </w:tc>
      </w:tr>
      <w:tr w:rsidR="00A76D01" w:rsidRPr="00A76D01" w14:paraId="31E85F7F"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102148E3"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2025-10</w:t>
            </w:r>
          </w:p>
        </w:tc>
        <w:tc>
          <w:tcPr>
            <w:tcW w:w="3331" w:type="dxa"/>
            <w:tcBorders>
              <w:left w:val="none" w:sz="0" w:space="0" w:color="auto"/>
              <w:right w:val="none" w:sz="0" w:space="0" w:color="auto"/>
            </w:tcBorders>
          </w:tcPr>
          <w:p w14:paraId="67F5F0CC"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178</w:t>
            </w:r>
          </w:p>
        </w:tc>
        <w:tc>
          <w:tcPr>
            <w:tcW w:w="3331" w:type="dxa"/>
            <w:tcBorders>
              <w:left w:val="none" w:sz="0" w:space="0" w:color="auto"/>
              <w:right w:val="none" w:sz="0" w:space="0" w:color="auto"/>
            </w:tcBorders>
          </w:tcPr>
          <w:p w14:paraId="6123B51F"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26.38</w:t>
            </w:r>
          </w:p>
        </w:tc>
      </w:tr>
      <w:tr w:rsidR="00A76D01" w:rsidRPr="00A76D01" w14:paraId="2A3B9989"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3AA460EE"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2025-11</w:t>
            </w:r>
          </w:p>
        </w:tc>
        <w:tc>
          <w:tcPr>
            <w:tcW w:w="3331" w:type="dxa"/>
          </w:tcPr>
          <w:p w14:paraId="4F27637A"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82</w:t>
            </w:r>
          </w:p>
        </w:tc>
        <w:tc>
          <w:tcPr>
            <w:tcW w:w="3331" w:type="dxa"/>
          </w:tcPr>
          <w:p w14:paraId="35201111"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11.96</w:t>
            </w:r>
          </w:p>
        </w:tc>
      </w:tr>
      <w:tr w:rsidR="00A76D01" w:rsidRPr="00A76D01" w14:paraId="16472212"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4B7DE6E0"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2025-12</w:t>
            </w:r>
          </w:p>
        </w:tc>
        <w:tc>
          <w:tcPr>
            <w:tcW w:w="3331" w:type="dxa"/>
            <w:tcBorders>
              <w:left w:val="none" w:sz="0" w:space="0" w:color="auto"/>
              <w:right w:val="none" w:sz="0" w:space="0" w:color="auto"/>
            </w:tcBorders>
          </w:tcPr>
          <w:p w14:paraId="380EEB81"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33</w:t>
            </w:r>
          </w:p>
        </w:tc>
        <w:tc>
          <w:tcPr>
            <w:tcW w:w="3331" w:type="dxa"/>
            <w:tcBorders>
              <w:left w:val="none" w:sz="0" w:space="0" w:color="auto"/>
              <w:right w:val="none" w:sz="0" w:space="0" w:color="auto"/>
            </w:tcBorders>
          </w:tcPr>
          <w:p w14:paraId="2F6D7C52"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82.48</w:t>
            </w:r>
          </w:p>
        </w:tc>
      </w:tr>
      <w:tr w:rsidR="00A76D01" w:rsidRPr="00A76D01" w14:paraId="2183B25A"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1F2BC91"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2026-01</w:t>
            </w:r>
          </w:p>
        </w:tc>
        <w:tc>
          <w:tcPr>
            <w:tcW w:w="3331" w:type="dxa"/>
          </w:tcPr>
          <w:p w14:paraId="1838F114"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37</w:t>
            </w:r>
          </w:p>
        </w:tc>
        <w:tc>
          <w:tcPr>
            <w:tcW w:w="3331" w:type="dxa"/>
          </w:tcPr>
          <w:p w14:paraId="5B853D0B"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76.30</w:t>
            </w:r>
          </w:p>
        </w:tc>
      </w:tr>
      <w:tr w:rsidR="00A76D01" w:rsidRPr="00A76D01" w14:paraId="554A1745"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545DFAFD"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2026-02</w:t>
            </w:r>
          </w:p>
        </w:tc>
        <w:tc>
          <w:tcPr>
            <w:tcW w:w="3331" w:type="dxa"/>
            <w:tcBorders>
              <w:left w:val="none" w:sz="0" w:space="0" w:color="auto"/>
              <w:right w:val="none" w:sz="0" w:space="0" w:color="auto"/>
            </w:tcBorders>
          </w:tcPr>
          <w:p w14:paraId="3472A303"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90</w:t>
            </w:r>
          </w:p>
        </w:tc>
        <w:tc>
          <w:tcPr>
            <w:tcW w:w="3331" w:type="dxa"/>
            <w:tcBorders>
              <w:left w:val="none" w:sz="0" w:space="0" w:color="auto"/>
              <w:right w:val="none" w:sz="0" w:space="0" w:color="auto"/>
            </w:tcBorders>
          </w:tcPr>
          <w:p w14:paraId="2CE48188"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61.43</w:t>
            </w:r>
          </w:p>
        </w:tc>
      </w:tr>
      <w:tr w:rsidR="00A76D01" w:rsidRPr="00A76D01" w14:paraId="4AC88356"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166B9C3E"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2026-03</w:t>
            </w:r>
          </w:p>
        </w:tc>
        <w:tc>
          <w:tcPr>
            <w:tcW w:w="3331" w:type="dxa"/>
          </w:tcPr>
          <w:p w14:paraId="3955B8C3"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179</w:t>
            </w:r>
          </w:p>
        </w:tc>
        <w:tc>
          <w:tcPr>
            <w:tcW w:w="3331" w:type="dxa"/>
          </w:tcPr>
          <w:p w14:paraId="289DDA32"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48.49</w:t>
            </w:r>
          </w:p>
        </w:tc>
      </w:tr>
      <w:tr w:rsidR="00A76D01" w:rsidRPr="00A76D01" w14:paraId="684880AC"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0963458C"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2026-04</w:t>
            </w:r>
          </w:p>
        </w:tc>
        <w:tc>
          <w:tcPr>
            <w:tcW w:w="3331" w:type="dxa"/>
            <w:tcBorders>
              <w:left w:val="none" w:sz="0" w:space="0" w:color="auto"/>
              <w:right w:val="none" w:sz="0" w:space="0" w:color="auto"/>
            </w:tcBorders>
          </w:tcPr>
          <w:p w14:paraId="406FD464"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110</w:t>
            </w:r>
          </w:p>
        </w:tc>
        <w:tc>
          <w:tcPr>
            <w:tcW w:w="3331" w:type="dxa"/>
            <w:tcBorders>
              <w:left w:val="none" w:sz="0" w:space="0" w:color="auto"/>
              <w:right w:val="none" w:sz="0" w:space="0" w:color="auto"/>
            </w:tcBorders>
          </w:tcPr>
          <w:p w14:paraId="1D33D393"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47.98</w:t>
            </w:r>
          </w:p>
        </w:tc>
      </w:tr>
      <w:tr w:rsidR="00A76D01" w:rsidRPr="00A76D01" w14:paraId="4BA7830C"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07D3142"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2026-05</w:t>
            </w:r>
          </w:p>
        </w:tc>
        <w:tc>
          <w:tcPr>
            <w:tcW w:w="3331" w:type="dxa"/>
          </w:tcPr>
          <w:p w14:paraId="1DD78499"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324</w:t>
            </w:r>
          </w:p>
        </w:tc>
        <w:tc>
          <w:tcPr>
            <w:tcW w:w="3331" w:type="dxa"/>
          </w:tcPr>
          <w:p w14:paraId="7006B054"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35.44</w:t>
            </w:r>
          </w:p>
        </w:tc>
      </w:tr>
      <w:tr w:rsidR="00A76D01" w:rsidRPr="00A76D01" w14:paraId="002279FD"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745B3900"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2026-06</w:t>
            </w:r>
          </w:p>
        </w:tc>
        <w:tc>
          <w:tcPr>
            <w:tcW w:w="3331" w:type="dxa"/>
            <w:tcBorders>
              <w:left w:val="none" w:sz="0" w:space="0" w:color="auto"/>
              <w:right w:val="none" w:sz="0" w:space="0" w:color="auto"/>
            </w:tcBorders>
          </w:tcPr>
          <w:p w14:paraId="6AA6A670"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657</w:t>
            </w:r>
          </w:p>
        </w:tc>
        <w:tc>
          <w:tcPr>
            <w:tcW w:w="3331" w:type="dxa"/>
            <w:tcBorders>
              <w:left w:val="none" w:sz="0" w:space="0" w:color="auto"/>
              <w:right w:val="none" w:sz="0" w:space="0" w:color="auto"/>
            </w:tcBorders>
          </w:tcPr>
          <w:p w14:paraId="164C1731"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14.59</w:t>
            </w:r>
          </w:p>
        </w:tc>
      </w:tr>
      <w:tr w:rsidR="00A76D01" w:rsidRPr="00A76D01" w14:paraId="795588E0"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5AE8174"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2026-07</w:t>
            </w:r>
          </w:p>
        </w:tc>
        <w:tc>
          <w:tcPr>
            <w:tcW w:w="3331" w:type="dxa"/>
          </w:tcPr>
          <w:p w14:paraId="52A90EDD"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1,586</w:t>
            </w:r>
          </w:p>
        </w:tc>
        <w:tc>
          <w:tcPr>
            <w:tcW w:w="3331" w:type="dxa"/>
          </w:tcPr>
          <w:p w14:paraId="3AAC26B4"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3.91</w:t>
            </w:r>
          </w:p>
        </w:tc>
      </w:tr>
      <w:tr w:rsidR="00A76D01" w:rsidRPr="00A76D01" w14:paraId="7410ABD4" w14:textId="77777777" w:rsidTr="00A76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left w:val="none" w:sz="0" w:space="0" w:color="auto"/>
              <w:right w:val="none" w:sz="0" w:space="0" w:color="auto"/>
            </w:tcBorders>
          </w:tcPr>
          <w:p w14:paraId="6170F022"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2026-08</w:t>
            </w:r>
          </w:p>
        </w:tc>
        <w:tc>
          <w:tcPr>
            <w:tcW w:w="3331" w:type="dxa"/>
            <w:tcBorders>
              <w:left w:val="none" w:sz="0" w:space="0" w:color="auto"/>
              <w:right w:val="none" w:sz="0" w:space="0" w:color="auto"/>
            </w:tcBorders>
          </w:tcPr>
          <w:p w14:paraId="44B944CF"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1,102</w:t>
            </w:r>
          </w:p>
        </w:tc>
        <w:tc>
          <w:tcPr>
            <w:tcW w:w="3331" w:type="dxa"/>
            <w:tcBorders>
              <w:left w:val="none" w:sz="0" w:space="0" w:color="auto"/>
              <w:right w:val="none" w:sz="0" w:space="0" w:color="auto"/>
            </w:tcBorders>
          </w:tcPr>
          <w:p w14:paraId="129187BA" w14:textId="77777777" w:rsidR="00872092" w:rsidRPr="00A76D0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2.20</w:t>
            </w:r>
          </w:p>
        </w:tc>
      </w:tr>
      <w:tr w:rsidR="00A76D01" w:rsidRPr="00A76D01" w14:paraId="1923CA2D" w14:textId="77777777" w:rsidTr="00A76D01">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3E9CEC3C" w14:textId="77777777" w:rsidR="00872092" w:rsidRPr="00A76D01" w:rsidRDefault="00000000">
            <w:pPr>
              <w:rPr>
                <w:rFonts w:ascii="Times New Roman" w:hAnsi="Times New Roman" w:cs="Times New Roman"/>
                <w:color w:val="auto"/>
              </w:rPr>
            </w:pPr>
            <w:r w:rsidRPr="00A76D01">
              <w:rPr>
                <w:rFonts w:ascii="Times New Roman" w:hAnsi="Times New Roman" w:cs="Times New Roman"/>
                <w:color w:val="auto"/>
              </w:rPr>
              <w:t>2026-09</w:t>
            </w:r>
          </w:p>
        </w:tc>
        <w:tc>
          <w:tcPr>
            <w:tcW w:w="3331" w:type="dxa"/>
          </w:tcPr>
          <w:p w14:paraId="251F9C54"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1,000</w:t>
            </w:r>
          </w:p>
        </w:tc>
        <w:tc>
          <w:tcPr>
            <w:tcW w:w="3331" w:type="dxa"/>
          </w:tcPr>
          <w:p w14:paraId="48BD16E2" w14:textId="77777777" w:rsidR="00872092" w:rsidRPr="00A76D0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76D01">
              <w:rPr>
                <w:rFonts w:ascii="Times New Roman" w:hAnsi="Times New Roman" w:cs="Times New Roman"/>
                <w:color w:val="auto"/>
              </w:rPr>
              <w:t>0.91</w:t>
            </w:r>
          </w:p>
        </w:tc>
      </w:tr>
    </w:tbl>
    <w:p w14:paraId="0D0FCD4F" w14:textId="77777777" w:rsidR="00872092" w:rsidRPr="00A76D01" w:rsidRDefault="00000000">
      <w:pPr>
        <w:rPr>
          <w:rFonts w:ascii="Times New Roman" w:hAnsi="Times New Roman" w:cs="Times New Roman"/>
        </w:rPr>
      </w:pPr>
      <w:r w:rsidRPr="00A76D01">
        <w:rPr>
          <w:rFonts w:ascii="Times New Roman" w:hAnsi="Times New Roman" w:cs="Times New Roman"/>
        </w:rPr>
        <w:t>A pronounced observed decline across FY2026 is not evidence by itself that operations became faster. Only permits issued by 2026-09-30 are included; later-submitted cohorts have less opportunity for long-duration cases to enter that issued-permit population. This creates a serious cohort comparability limitation.</w:t>
      </w:r>
    </w:p>
    <w:p w14:paraId="32440294" w14:textId="276355FA" w:rsidR="00872092" w:rsidRPr="00A76D01" w:rsidRDefault="00A76D01">
      <w:pPr>
        <w:pStyle w:val="Heading1"/>
        <w:rPr>
          <w:rFonts w:ascii="Times New Roman" w:hAnsi="Times New Roman" w:cs="Times New Roman"/>
          <w:color w:val="auto"/>
        </w:rPr>
      </w:pPr>
      <w:r>
        <w:rPr>
          <w:rFonts w:ascii="Times New Roman" w:hAnsi="Times New Roman" w:cs="Times New Roman"/>
          <w:color w:val="auto"/>
        </w:rPr>
        <w:t>5</w:t>
      </w:r>
      <w:r w:rsidR="00000000" w:rsidRPr="00A76D01">
        <w:rPr>
          <w:rFonts w:ascii="Times New Roman" w:hAnsi="Times New Roman" w:cs="Times New Roman"/>
          <w:color w:val="auto"/>
        </w:rPr>
        <w:t>. Quality checks, decisions, issues and constraints</w:t>
      </w:r>
    </w:p>
    <w:p w14:paraId="7623A80D"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FY26 date bounds are explicit and inclusive/exclusive to avoid ambiguity at midnight.</w:t>
      </w:r>
    </w:p>
    <w:p w14:paraId="50F2F514"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Current issued/expired status is retained for review rather than used to discard historically issued permits.</w:t>
      </w:r>
    </w:p>
    <w:p w14:paraId="13B0F1EF"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Unit of analysis is one tracking number, while additional ward links are retained separately.</w:t>
      </w:r>
    </w:p>
    <w:p w14:paraId="063E265C"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The custom measure is independent of DDOT DaysToApprove and accounts for stated weekend/holiday exclusions.</w:t>
      </w:r>
    </w:p>
    <w:p w14:paraId="1952444E"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Activity grouping is mutually exclusive; multi-family permits form a dedicated category.</w:t>
      </w:r>
    </w:p>
    <w:p w14:paraId="0413369C"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Category groups with only one observation are excluded from the chart but included in overall KPIs.</w:t>
      </w:r>
    </w:p>
    <w:p w14:paraId="7022C314"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The source field definition of LastApprovalDate, same-day convention, agency closure calendar and new/reissue eligibility still need authoritative validation.</w:t>
      </w:r>
    </w:p>
    <w:p w14:paraId="00A2D041"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CSV snapshot is from 2026-10-14 and the source may refresh daily.</w:t>
      </w:r>
    </w:p>
    <w:p w14:paraId="011BF601" w14:textId="77777777" w:rsidR="00872092" w:rsidRPr="00A76D01" w:rsidRDefault="00000000">
      <w:pPr>
        <w:pStyle w:val="ListBullet"/>
        <w:rPr>
          <w:rFonts w:ascii="Times New Roman" w:hAnsi="Times New Roman" w:cs="Times New Roman"/>
        </w:rPr>
      </w:pPr>
      <w:r w:rsidRPr="00A76D01">
        <w:rPr>
          <w:rFonts w:ascii="Times New Roman" w:hAnsi="Times New Roman" w:cs="Times New Roman"/>
        </w:rPr>
        <w:t>The final packaged workbook was not available for programmatic QA while this report was prepared.</w:t>
      </w:r>
    </w:p>
    <w:p w14:paraId="065466EB" w14:textId="343A6927" w:rsidR="00872092" w:rsidRPr="00A76D01" w:rsidRDefault="00A76D01">
      <w:pPr>
        <w:pStyle w:val="Heading1"/>
        <w:rPr>
          <w:rFonts w:ascii="Times New Roman" w:hAnsi="Times New Roman" w:cs="Times New Roman"/>
          <w:color w:val="auto"/>
        </w:rPr>
      </w:pPr>
      <w:r w:rsidRPr="00A76D01">
        <w:rPr>
          <w:rFonts w:ascii="Times New Roman" w:hAnsi="Times New Roman" w:cs="Times New Roman"/>
          <w:color w:val="auto"/>
        </w:rPr>
        <w:t>6.</w:t>
      </w:r>
      <w:r w:rsidR="00000000" w:rsidRPr="00A76D01">
        <w:rPr>
          <w:rFonts w:ascii="Times New Roman" w:hAnsi="Times New Roman" w:cs="Times New Roman"/>
          <w:color w:val="auto"/>
        </w:rPr>
        <w:t xml:space="preserve"> Reproduction file dependencies</w:t>
      </w:r>
    </w:p>
    <w:p w14:paraId="4AFAA3E2" w14:textId="2EBDDB96" w:rsidR="00872092" w:rsidRDefault="00000000" w:rsidP="00A76D01">
      <w:pPr>
        <w:jc w:val="both"/>
        <w:rPr>
          <w:rFonts w:ascii="Times New Roman" w:hAnsi="Times New Roman" w:cs="Times New Roman"/>
        </w:rPr>
      </w:pPr>
      <w:r w:rsidRPr="00A76D01">
        <w:rPr>
          <w:rFonts w:ascii="Times New Roman" w:hAnsi="Times New Roman" w:cs="Times New Roman"/>
        </w:rPr>
        <w:t>Python 3 packages: requests, pandas and numpy. Execute step1_extract_audit.py to extract candidate records; use the provided fy26_permit_level_preliminary.csv to run step2_business_days.py; then run step4_classify_permits.py with the Step 2 output accessible at its expected path. The raw-row-to-permit deduplication processing was not provided as a standalone executable script and should not be represented as fully automated end-to-end reproduction.</w:t>
      </w:r>
    </w:p>
    <w:p w14:paraId="655D857B" w14:textId="77777777" w:rsidR="00A76D01" w:rsidRDefault="00A76D01" w:rsidP="00A76D01">
      <w:pPr>
        <w:jc w:val="both"/>
        <w:rPr>
          <w:rFonts w:ascii="Times New Roman" w:hAnsi="Times New Roman" w:cs="Times New Roman"/>
        </w:rPr>
      </w:pPr>
    </w:p>
    <w:p w14:paraId="78FA2242" w14:textId="77777777" w:rsidR="00A76D01" w:rsidRDefault="00A76D01" w:rsidP="00A76D01">
      <w:pPr>
        <w:jc w:val="both"/>
        <w:rPr>
          <w:rFonts w:ascii="Times New Roman" w:hAnsi="Times New Roman" w:cs="Times New Roman"/>
        </w:rPr>
      </w:pPr>
    </w:p>
    <w:p w14:paraId="5E95B2A1" w14:textId="77777777" w:rsidR="00A76D01" w:rsidRPr="00A76D01" w:rsidRDefault="00A76D01" w:rsidP="00A76D01">
      <w:pPr>
        <w:jc w:val="both"/>
        <w:rPr>
          <w:rFonts w:ascii="Times New Roman" w:hAnsi="Times New Roman" w:cs="Times New Roman"/>
        </w:rPr>
      </w:pPr>
    </w:p>
    <w:sectPr w:rsidR="00A76D01" w:rsidRPr="00A76D01" w:rsidSect="00034616">
      <w:footerReference w:type="default" r:id="rId8"/>
      <w:pgSz w:w="12240" w:h="15840"/>
      <w:pgMar w:top="979" w:right="1123" w:bottom="936" w:left="1123"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93EF5" w14:textId="77777777" w:rsidR="00530B40" w:rsidRDefault="00530B40">
      <w:pPr>
        <w:spacing w:after="0" w:line="240" w:lineRule="auto"/>
      </w:pPr>
      <w:r>
        <w:separator/>
      </w:r>
    </w:p>
  </w:endnote>
  <w:endnote w:type="continuationSeparator" w:id="0">
    <w:p w14:paraId="03358C68" w14:textId="77777777" w:rsidR="00530B40" w:rsidRDefault="00530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D6915" w14:textId="246123FB" w:rsidR="00872092" w:rsidRDefault="008720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40D5C" w14:textId="77777777" w:rsidR="00530B40" w:rsidRDefault="00530B40">
      <w:pPr>
        <w:spacing w:after="0" w:line="240" w:lineRule="auto"/>
      </w:pPr>
      <w:r>
        <w:separator/>
      </w:r>
    </w:p>
  </w:footnote>
  <w:footnote w:type="continuationSeparator" w:id="0">
    <w:p w14:paraId="27BCE071" w14:textId="77777777" w:rsidR="00530B40" w:rsidRDefault="00530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557471">
    <w:abstractNumId w:val="8"/>
  </w:num>
  <w:num w:numId="2" w16cid:durableId="359207574">
    <w:abstractNumId w:val="6"/>
  </w:num>
  <w:num w:numId="3" w16cid:durableId="853148957">
    <w:abstractNumId w:val="5"/>
  </w:num>
  <w:num w:numId="4" w16cid:durableId="1520974518">
    <w:abstractNumId w:val="4"/>
  </w:num>
  <w:num w:numId="5" w16cid:durableId="1659335948">
    <w:abstractNumId w:val="7"/>
  </w:num>
  <w:num w:numId="6" w16cid:durableId="145974490">
    <w:abstractNumId w:val="3"/>
  </w:num>
  <w:num w:numId="7" w16cid:durableId="1487550964">
    <w:abstractNumId w:val="2"/>
  </w:num>
  <w:num w:numId="8" w16cid:durableId="454181451">
    <w:abstractNumId w:val="1"/>
  </w:num>
  <w:num w:numId="9" w16cid:durableId="140151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0B40"/>
    <w:rsid w:val="00872092"/>
    <w:rsid w:val="00A76D01"/>
    <w:rsid w:val="00AA1D8D"/>
    <w:rsid w:val="00AF49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9276C"/>
  <w14:defaultImageDpi w14:val="300"/>
  <w15:docId w15:val="{A1B30556-B93B-4F0D-BE09-0083CC27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42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F7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45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KANNA R</cp:lastModifiedBy>
  <cp:revision>2</cp:revision>
  <dcterms:created xsi:type="dcterms:W3CDTF">2013-12-23T23:15:00Z</dcterms:created>
  <dcterms:modified xsi:type="dcterms:W3CDTF">2026-10-16T16:15:00Z</dcterms:modified>
  <cp:category/>
</cp:coreProperties>
</file>