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B74A0" w14:textId="53F40EEF" w:rsidR="007F551E" w:rsidRDefault="007F551E" w:rsidP="00922E01">
      <w:pPr>
        <w:jc w:val="both"/>
      </w:pPr>
      <w:r>
        <w:t>UNIDAD 6 – RELACION LABORAL</w:t>
      </w: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3BD3154F" w14:textId="77777777" w:rsidR="00922E01" w:rsidRDefault="00922E01" w:rsidP="00922E01">
      <w:pPr>
        <w:jc w:val="both"/>
      </w:pPr>
    </w:p>
    <w:p w14:paraId="18F15BBD" w14:textId="77777777" w:rsidR="00922E01" w:rsidRDefault="00922E01" w:rsidP="00922E01">
      <w:pPr>
        <w:jc w:val="both"/>
      </w:pPr>
    </w:p>
    <w:p w14:paraId="3972FE10" w14:textId="77777777" w:rsidR="00922E01" w:rsidRDefault="00922E01" w:rsidP="00922E01">
      <w:pPr>
        <w:jc w:val="both"/>
      </w:pPr>
    </w:p>
    <w:p w14:paraId="3310496A" w14:textId="77777777" w:rsidR="00922E01" w:rsidRDefault="00922E01" w:rsidP="00922E01">
      <w:pPr>
        <w:jc w:val="both"/>
      </w:pPr>
    </w:p>
    <w:p w14:paraId="4AFE9D93" w14:textId="77777777" w:rsidR="00922E01" w:rsidRDefault="00922E01" w:rsidP="00922E01">
      <w:pPr>
        <w:jc w:val="both"/>
      </w:pPr>
    </w:p>
    <w:p w14:paraId="254483D1" w14:textId="77777777" w:rsidR="00922E01" w:rsidRDefault="00922E01" w:rsidP="00922E01">
      <w:pPr>
        <w:jc w:val="both"/>
      </w:pPr>
    </w:p>
    <w:p w14:paraId="17C7282E" w14:textId="77777777" w:rsidR="00922E01" w:rsidRDefault="00922E01" w:rsidP="00922E01">
      <w:pPr>
        <w:jc w:val="both"/>
      </w:pPr>
    </w:p>
    <w:p w14:paraId="651EA951" w14:textId="77777777" w:rsidR="00922E01" w:rsidRDefault="00922E01" w:rsidP="00922E01">
      <w:pPr>
        <w:jc w:val="both"/>
      </w:pPr>
    </w:p>
    <w:p w14:paraId="486552CE" w14:textId="77777777" w:rsidR="00922E01" w:rsidRDefault="00922E01" w:rsidP="00922E01">
      <w:pPr>
        <w:jc w:val="both"/>
      </w:pPr>
    </w:p>
    <w:p w14:paraId="4AA975EF" w14:textId="77777777" w:rsidR="00922E01" w:rsidRDefault="00922E01" w:rsidP="00922E01">
      <w:pPr>
        <w:jc w:val="both"/>
      </w:pPr>
    </w:p>
    <w:p w14:paraId="3997F4C7" w14:textId="77777777" w:rsidR="00922E01" w:rsidRDefault="00922E01" w:rsidP="00922E01">
      <w:pPr>
        <w:jc w:val="both"/>
      </w:pPr>
    </w:p>
    <w:p w14:paraId="4025D5B3" w14:textId="77777777" w:rsidR="00922E01" w:rsidRDefault="00922E01" w:rsidP="00922E01">
      <w:pPr>
        <w:jc w:val="both"/>
      </w:pPr>
    </w:p>
    <w:p w14:paraId="12F250E0" w14:textId="77777777" w:rsidR="00922E01" w:rsidRDefault="00922E01" w:rsidP="00922E01">
      <w:pPr>
        <w:jc w:val="both"/>
      </w:pPr>
    </w:p>
    <w:p w14:paraId="4FFD2E81" w14:textId="77777777" w:rsidR="00922E01" w:rsidRDefault="00922E01" w:rsidP="00922E01">
      <w:pPr>
        <w:jc w:val="both"/>
      </w:pPr>
    </w:p>
    <w:p w14:paraId="45E4B0A7" w14:textId="77777777" w:rsidR="00922E01" w:rsidRDefault="00922E01" w:rsidP="00922E01">
      <w:pPr>
        <w:jc w:val="both"/>
      </w:pPr>
    </w:p>
    <w:p w14:paraId="1B50B78B" w14:textId="77777777" w:rsidR="00922E01" w:rsidRDefault="00922E01" w:rsidP="00922E01">
      <w:pPr>
        <w:jc w:val="both"/>
      </w:pPr>
    </w:p>
    <w:p w14:paraId="03915460" w14:textId="77777777" w:rsidR="00922E01" w:rsidRDefault="00922E01" w:rsidP="00922E01">
      <w:pPr>
        <w:jc w:val="both"/>
      </w:pPr>
    </w:p>
    <w:p w14:paraId="3AB3B5A0" w14:textId="77777777" w:rsidR="00922E01" w:rsidRDefault="00922E01" w:rsidP="00922E01">
      <w:pPr>
        <w:jc w:val="both"/>
      </w:pPr>
    </w:p>
    <w:p w14:paraId="3AB33B07" w14:textId="77777777" w:rsidR="00922E01" w:rsidRDefault="00922E01" w:rsidP="00922E01">
      <w:pPr>
        <w:jc w:val="both"/>
      </w:pPr>
    </w:p>
    <w:p w14:paraId="6D1BA7B4" w14:textId="77777777" w:rsidR="00922E01" w:rsidRDefault="00922E01" w:rsidP="00922E01">
      <w:pPr>
        <w:jc w:val="both"/>
      </w:pPr>
    </w:p>
    <w:p w14:paraId="12C04E13" w14:textId="77777777" w:rsidR="00922E01" w:rsidRDefault="00922E01" w:rsidP="00922E01">
      <w:pPr>
        <w:jc w:val="both"/>
      </w:pPr>
    </w:p>
    <w:p w14:paraId="26F6688E" w14:textId="77777777" w:rsidR="00922E01" w:rsidRDefault="00922E01" w:rsidP="00922E01">
      <w:pPr>
        <w:jc w:val="both"/>
      </w:pPr>
    </w:p>
    <w:p w14:paraId="1125C27F" w14:textId="77777777" w:rsidR="00F04876" w:rsidRDefault="00F04876"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lastRenderedPageBreak/>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77777777" w:rsidR="00922E01" w:rsidRPr="00922E01" w:rsidRDefault="00922E01" w:rsidP="00922E01">
      <w:pPr>
        <w:jc w:val="both"/>
        <w:rPr>
          <w:color w:val="0070C0"/>
          <w:sz w:val="22"/>
          <w:szCs w:val="22"/>
        </w:rPr>
      </w:pPr>
      <w:r w:rsidRPr="00922E01">
        <w:rPr>
          <w:color w:val="0070C0"/>
          <w:sz w:val="22"/>
          <w:szCs w:val="22"/>
        </w:rPr>
        <w:t>El contrato de trabajo es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Default="00922E01" w:rsidP="00922E01">
      <w:pPr>
        <w:jc w:val="both"/>
        <w:rPr>
          <w:sz w:val="22"/>
          <w:szCs w:val="22"/>
        </w:rPr>
      </w:pPr>
      <w:r w:rsidRPr="00922E01">
        <w:rPr>
          <w:b/>
          <w:bCs/>
          <w:sz w:val="22"/>
          <w:szCs w:val="22"/>
        </w:rPr>
        <w:t>Consentimiento</w:t>
      </w:r>
      <w:r>
        <w:rPr>
          <w:color w:val="0070C0"/>
          <w:sz w:val="22"/>
          <w:szCs w:val="22"/>
        </w:rPr>
        <w:t xml:space="preserve"> </w:t>
      </w:r>
      <w:r>
        <w:rPr>
          <w:sz w:val="22"/>
          <w:szCs w:val="22"/>
        </w:rPr>
        <w:t xml:space="preserve">→ </w:t>
      </w:r>
      <w:r w:rsidRPr="00922E01">
        <w:rPr>
          <w:color w:val="0070C0"/>
          <w:sz w:val="22"/>
          <w:szCs w:val="22"/>
        </w:rPr>
        <w:t>El contrato se realiza de mutuo acuerdo, prestado libremente entre las partes intervinientes (empresa y trabajador).</w:t>
      </w:r>
      <w:r>
        <w:rPr>
          <w:sz w:val="22"/>
          <w:szCs w:val="22"/>
        </w:rPr>
        <w:t xml:space="preserve"> </w:t>
      </w:r>
    </w:p>
    <w:p w14:paraId="39C547BD" w14:textId="7E3B62EF" w:rsidR="00922E01" w:rsidRPr="00922E01" w:rsidRDefault="00922E01" w:rsidP="00922E01">
      <w:pPr>
        <w:jc w:val="both"/>
        <w:rPr>
          <w:sz w:val="22"/>
          <w:szCs w:val="22"/>
        </w:rPr>
      </w:pPr>
      <w:r w:rsidRPr="00922E01">
        <w:rPr>
          <w:b/>
          <w:bCs/>
          <w:sz w:val="22"/>
          <w:szCs w:val="22"/>
        </w:rPr>
        <w:t>Objeto</w:t>
      </w:r>
      <w:r>
        <w:rPr>
          <w:b/>
          <w:bCs/>
          <w:sz w:val="22"/>
          <w:szCs w:val="22"/>
        </w:rPr>
        <w:t xml:space="preserve"> </w:t>
      </w:r>
      <w:r>
        <w:rPr>
          <w:sz w:val="22"/>
          <w:szCs w:val="22"/>
        </w:rPr>
        <w:t xml:space="preserve">→ </w:t>
      </w:r>
      <w:r w:rsidRPr="00922E01">
        <w:rPr>
          <w:color w:val="0070C0"/>
          <w:sz w:val="22"/>
          <w:szCs w:val="22"/>
        </w:rPr>
        <w:t>Actividad retribuida del empleado, su trabajo, que debe cumplir los requisitos de ser posible, licito y determinado. .</w:t>
      </w:r>
      <w:r w:rsidRPr="00922E01">
        <w:rPr>
          <w:sz w:val="22"/>
          <w:szCs w:val="22"/>
        </w:rPr>
        <w:br/>
      </w:r>
      <w:r w:rsidRPr="00922E01">
        <w:rPr>
          <w:b/>
          <w:bCs/>
          <w:sz w:val="22"/>
          <w:szCs w:val="22"/>
        </w:rPr>
        <w:t>Causa</w:t>
      </w:r>
      <w:r w:rsidRPr="00922E01">
        <w:rPr>
          <w:sz w:val="22"/>
          <w:szCs w:val="22"/>
        </w:rPr>
        <w:t> </w:t>
      </w:r>
      <w:r>
        <w:rPr>
          <w:sz w:val="22"/>
          <w:szCs w:val="22"/>
        </w:rPr>
        <w:t>→</w:t>
      </w:r>
      <w:r w:rsidRPr="00922E01">
        <w:rPr>
          <w:sz w:val="22"/>
          <w:szCs w:val="22"/>
        </w:rPr>
        <w:t xml:space="preserve"> </w:t>
      </w:r>
      <w:r w:rsidRPr="00922E01">
        <w:rPr>
          <w:color w:val="0070C0"/>
          <w:sz w:val="22"/>
          <w:szCs w:val="22"/>
        </w:rPr>
        <w:t>Es el motivo por el que se celebra el contrato: la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922E01">
      <w:pPr>
        <w:numPr>
          <w:ilvl w:val="0"/>
          <w:numId w:val="1"/>
        </w:numPr>
        <w:jc w:val="both"/>
        <w:rPr>
          <w:color w:val="0070C0"/>
          <w:sz w:val="22"/>
          <w:szCs w:val="22"/>
        </w:rPr>
      </w:pPr>
      <w:r w:rsidRPr="00922E01">
        <w:rPr>
          <w:color w:val="0070C0"/>
          <w:sz w:val="22"/>
          <w:szCs w:val="22"/>
        </w:rPr>
        <w:t>Personas de 18 años o mayores.</w:t>
      </w:r>
    </w:p>
    <w:p w14:paraId="4B8C0DF6" w14:textId="77777777" w:rsidR="00922E01" w:rsidRPr="00922E01" w:rsidRDefault="00922E01" w:rsidP="00922E01">
      <w:pPr>
        <w:numPr>
          <w:ilvl w:val="0"/>
          <w:numId w:val="1"/>
        </w:numPr>
        <w:jc w:val="both"/>
        <w:rPr>
          <w:color w:val="0070C0"/>
          <w:sz w:val="22"/>
          <w:szCs w:val="22"/>
        </w:rPr>
      </w:pPr>
      <w:r w:rsidRPr="00922E01">
        <w:rPr>
          <w:color w:val="0070C0"/>
          <w:sz w:val="22"/>
          <w:szCs w:val="22"/>
        </w:rPr>
        <w:t>Menores de 18 años y mayores de 16 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922E01">
      <w:pPr>
        <w:numPr>
          <w:ilvl w:val="0"/>
          <w:numId w:val="1"/>
        </w:numPr>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922E01">
      <w:pPr>
        <w:numPr>
          <w:ilvl w:val="0"/>
          <w:numId w:val="1"/>
        </w:numPr>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922E01">
      <w:pPr>
        <w:numPr>
          <w:ilvl w:val="0"/>
          <w:numId w:val="1"/>
        </w:numPr>
        <w:jc w:val="both"/>
        <w:rPr>
          <w:color w:val="0070C0"/>
          <w:sz w:val="22"/>
          <w:szCs w:val="22"/>
        </w:rPr>
      </w:pPr>
      <w:r w:rsidRPr="00922E01">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t>¿Quién puede constituir una empresa?</w:t>
      </w:r>
    </w:p>
    <w:p w14:paraId="3380FB2D" w14:textId="77777777" w:rsidR="00922E01" w:rsidRPr="00922E01" w:rsidRDefault="00922E01" w:rsidP="00922E01">
      <w:pPr>
        <w:numPr>
          <w:ilvl w:val="0"/>
          <w:numId w:val="2"/>
        </w:numPr>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922E01">
      <w:pPr>
        <w:numPr>
          <w:ilvl w:val="0"/>
          <w:numId w:val="2"/>
        </w:numPr>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lastRenderedPageBreak/>
        <w:t>Comunidad de bienes.</w:t>
      </w:r>
    </w:p>
    <w:p w14:paraId="226AE9CF" w14:textId="77777777" w:rsidR="00922E01" w:rsidRPr="00922E01" w:rsidRDefault="00922E01" w:rsidP="00922E01">
      <w:pPr>
        <w:jc w:val="both"/>
        <w:rPr>
          <w:sz w:val="22"/>
          <w:szCs w:val="22"/>
        </w:rPr>
      </w:pPr>
      <w:r w:rsidRPr="00922E01">
        <w:rPr>
          <w:sz w:val="22"/>
          <w:szCs w:val="22"/>
        </w:rPr>
        <w:t>Trámites que debe realizar la empresa cuando contrata a una persona trabajadora</w:t>
      </w:r>
    </w:p>
    <w:p w14:paraId="7A985C8C" w14:textId="77777777" w:rsidR="00922E01" w:rsidRPr="00922E01" w:rsidRDefault="00922E01" w:rsidP="00922E01">
      <w:pPr>
        <w:numPr>
          <w:ilvl w:val="0"/>
          <w:numId w:val="3"/>
        </w:numPr>
        <w:jc w:val="both"/>
        <w:rPr>
          <w:color w:val="0070C0"/>
          <w:sz w:val="22"/>
          <w:szCs w:val="22"/>
        </w:rPr>
      </w:pPr>
      <w:r w:rsidRPr="00922E01">
        <w:rPr>
          <w:color w:val="0070C0"/>
          <w:sz w:val="22"/>
          <w:szCs w:val="22"/>
        </w:rPr>
        <w:t>Comunicar la contratación al SEPE y entregar una copia del contrato al empleado o empleada.</w:t>
      </w:r>
    </w:p>
    <w:p w14:paraId="42236976" w14:textId="77777777" w:rsidR="00922E01" w:rsidRPr="00922E01" w:rsidRDefault="00922E01" w:rsidP="00922E01">
      <w:pPr>
        <w:numPr>
          <w:ilvl w:val="0"/>
          <w:numId w:val="3"/>
        </w:numPr>
        <w:jc w:val="both"/>
        <w:rPr>
          <w:color w:val="0070C0"/>
          <w:sz w:val="22"/>
          <w:szCs w:val="22"/>
        </w:rPr>
      </w:pPr>
      <w:r w:rsidRPr="00922E01">
        <w:rPr>
          <w:color w:val="0070C0"/>
          <w:sz w:val="22"/>
          <w:szCs w:val="22"/>
        </w:rPr>
        <w:t>Afiliar a los trabajadores a la SS, cuando no lo estén, y darlos de alta en este organismo.</w:t>
      </w:r>
    </w:p>
    <w:p w14:paraId="63919E6B" w14:textId="77777777" w:rsidR="00922E01" w:rsidRPr="00922E01" w:rsidRDefault="00922E01" w:rsidP="00922E01">
      <w:pPr>
        <w:numPr>
          <w:ilvl w:val="0"/>
          <w:numId w:val="3"/>
        </w:numPr>
        <w:jc w:val="both"/>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81B5331" w14:textId="77777777" w:rsidR="00922E01" w:rsidRPr="00B751DD" w:rsidRDefault="00922E01" w:rsidP="00922E01">
      <w:pPr>
        <w:numPr>
          <w:ilvl w:val="0"/>
          <w:numId w:val="4"/>
        </w:numPr>
        <w:jc w:val="both"/>
        <w:rPr>
          <w:color w:val="0070C0"/>
          <w:sz w:val="22"/>
          <w:szCs w:val="22"/>
        </w:rPr>
      </w:pPr>
      <w:r w:rsidRPr="00B751DD">
        <w:rPr>
          <w:color w:val="0070C0"/>
          <w:sz w:val="22"/>
          <w:szCs w:val="22"/>
        </w:rPr>
        <w:t>Solo se pueden celebrar verbalmente el contrato indefinido ordinario a tiempo completo.</w:t>
      </w:r>
    </w:p>
    <w:p w14:paraId="5B5360A8" w14:textId="77777777" w:rsidR="00922E01" w:rsidRPr="00B751DD" w:rsidRDefault="00922E01" w:rsidP="00922E01">
      <w:pPr>
        <w:numPr>
          <w:ilvl w:val="0"/>
          <w:numId w:val="4"/>
        </w:numPr>
        <w:jc w:val="both"/>
        <w:rPr>
          <w:color w:val="0070C0"/>
          <w:sz w:val="22"/>
          <w:szCs w:val="22"/>
        </w:rPr>
      </w:pPr>
      <w:r w:rsidRPr="00B751DD">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77777777" w:rsidR="00922E01" w:rsidRPr="00B751DD" w:rsidRDefault="00922E01" w:rsidP="00922E01">
            <w:pPr>
              <w:jc w:val="both"/>
              <w:rPr>
                <w:color w:val="0070C0"/>
                <w:sz w:val="20"/>
                <w:szCs w:val="20"/>
              </w:rPr>
            </w:pPr>
            <w:r w:rsidRPr="00B751DD">
              <w:rPr>
                <w:color w:val="0070C0"/>
                <w:sz w:val="20"/>
                <w:szCs w:val="20"/>
              </w:rPr>
              <w:t>El compromiso consiste en no realizar la misma actividad al finalizar la relación laboral a cambio de una compensación económica. No será superior a dos años para los técnicos ni a seis meses 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77777777" w:rsidR="00922E01" w:rsidRPr="00B751DD" w:rsidRDefault="00922E01" w:rsidP="00922E01">
            <w:pPr>
              <w:jc w:val="both"/>
              <w:rPr>
                <w:color w:val="0070C0"/>
                <w:sz w:val="20"/>
                <w:szCs w:val="20"/>
              </w:rPr>
            </w:pPr>
            <w:r w:rsidRPr="00B751DD">
              <w:rPr>
                <w:color w:val="0070C0"/>
                <w:sz w:val="20"/>
                <w:szCs w:val="20"/>
              </w:rPr>
              <w:t>La duración máxima es de dos años y se suscribe cuando la persona trabajadora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El contrato puede concertarse por un tiempo indefinido (cuando no se fija una fecha de finalización determinada) o con una duración determinada.</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77777777" w:rsidR="00922E01" w:rsidRPr="00B751DD" w:rsidRDefault="00922E01" w:rsidP="00922E01">
      <w:pPr>
        <w:jc w:val="both"/>
        <w:rPr>
          <w:color w:val="0070C0"/>
          <w:sz w:val="22"/>
          <w:szCs w:val="22"/>
        </w:rPr>
      </w:pPr>
      <w:r w:rsidRPr="00B751DD">
        <w:rPr>
          <w:color w:val="0070C0"/>
          <w:sz w:val="22"/>
          <w:szCs w:val="22"/>
        </w:rPr>
        <w:t>El periodo de prueba es un tiempo de duración determinada que la empresa y la persona trabajadora pueden pactar para que ambas partes, de forma unilateral, comprueben la conveniencia de la contratación.</w:t>
      </w:r>
    </w:p>
    <w:p w14:paraId="5017EC4C" w14:textId="77777777" w:rsidR="00922E01"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p w14:paraId="2E9AE009" w14:textId="77777777" w:rsidR="00962E65" w:rsidRDefault="00962E65" w:rsidP="00B751DD">
      <w:pPr>
        <w:jc w:val="both"/>
        <w:rPr>
          <w:b/>
          <w:bCs/>
          <w:color w:val="FF0000"/>
          <w:sz w:val="22"/>
          <w:szCs w:val="22"/>
        </w:rPr>
      </w:pPr>
    </w:p>
    <w:p w14:paraId="18CE35F8" w14:textId="77777777" w:rsidR="00962E65" w:rsidRDefault="00962E65" w:rsidP="00B751DD">
      <w:pPr>
        <w:jc w:val="both"/>
        <w:rPr>
          <w:b/>
          <w:bCs/>
          <w:color w:val="FF0000"/>
          <w:sz w:val="22"/>
          <w:szCs w:val="22"/>
        </w:rPr>
      </w:pPr>
    </w:p>
    <w:p w14:paraId="266409B6" w14:textId="77777777" w:rsidR="00962E65" w:rsidRPr="00B751DD" w:rsidRDefault="00962E65" w:rsidP="00B751DD">
      <w:pPr>
        <w:jc w:val="both"/>
        <w:rPr>
          <w:color w:val="FF0000"/>
          <w:sz w:val="22"/>
          <w:szCs w:val="22"/>
        </w:rPr>
      </w:pP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lastRenderedPageBreak/>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quienes tienen el título de técnico o técnica, el periodo de prueba no podrá superar los seis meses.</w:t>
            </w:r>
          </w:p>
          <w:p w14:paraId="150A26AF" w14:textId="77777777" w:rsidR="00922E01" w:rsidRPr="00B751DD" w:rsidRDefault="00922E01" w:rsidP="00922E01">
            <w:pPr>
              <w:numPr>
                <w:ilvl w:val="0"/>
                <w:numId w:val="6"/>
              </w:numPr>
              <w:jc w:val="both"/>
              <w:rPr>
                <w:color w:val="0070C0"/>
                <w:sz w:val="20"/>
                <w:szCs w:val="20"/>
              </w:rPr>
            </w:pPr>
            <w:r w:rsidRPr="00B751DD">
              <w:rPr>
                <w:color w:val="0070C0"/>
                <w:sz w:val="20"/>
                <w:szCs w:val="20"/>
              </w:rPr>
              <w:t>Para las demás personas trabajadoras, será de dos meses como máximo, excepto en las empresas de menos de 25 personas, donde el periodo de prueba no podrá superar los tres meses.</w:t>
            </w:r>
          </w:p>
          <w:p w14:paraId="417AC072" w14:textId="77777777" w:rsidR="00922E01" w:rsidRPr="00B751DD" w:rsidRDefault="00922E01" w:rsidP="00922E01">
            <w:pPr>
              <w:numPr>
                <w:ilvl w:val="0"/>
                <w:numId w:val="6"/>
              </w:numPr>
              <w:jc w:val="both"/>
              <w:rPr>
                <w:color w:val="0070C0"/>
                <w:sz w:val="20"/>
                <w:szCs w:val="20"/>
              </w:rPr>
            </w:pPr>
            <w:r w:rsidRPr="00B751DD">
              <w:rPr>
                <w:color w:val="0070C0"/>
                <w:sz w:val="20"/>
                <w:szCs w:val="20"/>
              </w:rPr>
              <w:t>En los contratos para la obtención de la práctica profesional, un mes como máximo salvo lo dispuesto en convenio colectivo.</w:t>
            </w:r>
          </w:p>
          <w:p w14:paraId="1D35AA16" w14:textId="77777777" w:rsidR="00922E01" w:rsidRPr="00B751DD" w:rsidRDefault="00922E01" w:rsidP="00922E01">
            <w:pPr>
              <w:jc w:val="both"/>
              <w:rPr>
                <w:color w:val="0070C0"/>
                <w:sz w:val="20"/>
                <w:szCs w:val="20"/>
              </w:rPr>
            </w:pPr>
            <w:r w:rsidRPr="00B751DD">
              <w:rPr>
                <w:color w:val="0070C0"/>
                <w:sz w:val="20"/>
                <w:szCs w:val="20"/>
              </w:rPr>
              <w:t>En los contratos temporales de hasta seis meses no se puede fijar más de 1 mes de prueba.</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t>Derechos</w:t>
            </w:r>
          </w:p>
        </w:tc>
        <w:tc>
          <w:tcPr>
            <w:tcW w:w="8293" w:type="dxa"/>
          </w:tcPr>
          <w:p w14:paraId="7425D1E0" w14:textId="77777777" w:rsidR="00922E01" w:rsidRPr="00B751DD" w:rsidRDefault="00922E01" w:rsidP="00922E01">
            <w:pPr>
              <w:jc w:val="both"/>
              <w:rPr>
                <w:color w:val="0070C0"/>
                <w:sz w:val="20"/>
                <w:szCs w:val="20"/>
              </w:rPr>
            </w:pPr>
            <w:r w:rsidRPr="00B751DD">
              <w:rPr>
                <w:color w:val="0070C0"/>
                <w:sz w:val="20"/>
                <w:szCs w:val="20"/>
              </w:rPr>
              <w:t xml:space="preserve">Se tienen los mismos derechos y obligaciones que el resto de </w:t>
            </w:r>
            <w:proofErr w:type="gramStart"/>
            <w:r w:rsidRPr="00B751DD">
              <w:rPr>
                <w:color w:val="0070C0"/>
                <w:sz w:val="20"/>
                <w:szCs w:val="20"/>
              </w:rPr>
              <w:t>personas</w:t>
            </w:r>
            <w:proofErr w:type="gramEnd"/>
            <w:r w:rsidRPr="00B751DD">
              <w:rPr>
                <w:color w:val="0070C0"/>
                <w:sz w:val="20"/>
                <w:szCs w:val="20"/>
              </w:rPr>
              <w:t xml:space="preserve"> trabajadoras: alta en la Seguridad Social,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77777777" w:rsidR="00922E01" w:rsidRPr="002105F2" w:rsidRDefault="00922E01" w:rsidP="00922E01">
      <w:pPr>
        <w:jc w:val="both"/>
        <w:rPr>
          <w:color w:val="0070C0"/>
          <w:sz w:val="22"/>
          <w:szCs w:val="22"/>
        </w:rPr>
      </w:pPr>
      <w:r w:rsidRPr="002105F2">
        <w:rPr>
          <w:color w:val="0070C0"/>
          <w:sz w:val="22"/>
          <w:szCs w:val="22"/>
        </w:rPr>
        <w:t>Las características principales de los contratos de trabajo son: Forma, duración y periodo de prueba.</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7777777" w:rsidR="00922E01" w:rsidRPr="002105F2" w:rsidRDefault="00922E01" w:rsidP="00922E01">
            <w:pPr>
              <w:jc w:val="both"/>
              <w:rPr>
                <w:color w:val="0070C0"/>
                <w:sz w:val="20"/>
                <w:szCs w:val="20"/>
              </w:rPr>
            </w:pPr>
            <w:r w:rsidRPr="002105F2">
              <w:rPr>
                <w:color w:val="0070C0"/>
                <w:sz w:val="20"/>
                <w:szCs w:val="20"/>
              </w:rPr>
              <w:t xml:space="preserve">Solo existirá si se pacta pro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77777777" w:rsidR="00922E01" w:rsidRPr="002105F2" w:rsidRDefault="00922E01" w:rsidP="00922E01">
      <w:pPr>
        <w:jc w:val="both"/>
        <w:rPr>
          <w:color w:val="0070C0"/>
          <w:sz w:val="22"/>
          <w:szCs w:val="22"/>
        </w:rPr>
      </w:pPr>
      <w:r w:rsidRPr="002105F2">
        <w:rPr>
          <w:color w:val="0070C0"/>
          <w:sz w:val="22"/>
          <w:szCs w:val="22"/>
        </w:rPr>
        <w:t>Los contratos indefinidos son aquellos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lastRenderedPageBreak/>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77777777" w:rsidR="00922E01" w:rsidRPr="002105F2" w:rsidRDefault="00922E01" w:rsidP="00922E01">
      <w:pPr>
        <w:jc w:val="both"/>
        <w:rPr>
          <w:color w:val="0070C0"/>
          <w:sz w:val="22"/>
          <w:szCs w:val="22"/>
        </w:rPr>
      </w:pPr>
      <w:r w:rsidRPr="002105F2">
        <w:rPr>
          <w:color w:val="0070C0"/>
          <w:sz w:val="22"/>
          <w:szCs w:val="22"/>
        </w:rPr>
        <w:t>Los contratos temporales son aquellos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t>Para un trabajador:</w:t>
      </w:r>
    </w:p>
    <w:p w14:paraId="3FD22657" w14:textId="77777777"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trabaje de manera continua o discontinua, esta contrata por un tiempo superior a 18 meses, en un periodo de 24,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2 o más contratos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trabajador ocupe un puesto que haya estado ocupado con o sin solución de continuidad, durante más de 18 meses en un periodo de 24 meses 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922E01">
      <w:pPr>
        <w:numPr>
          <w:ilvl w:val="0"/>
          <w:numId w:val="8"/>
        </w:numPr>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922E01">
      <w:pPr>
        <w:numPr>
          <w:ilvl w:val="0"/>
          <w:numId w:val="9"/>
        </w:numPr>
        <w:jc w:val="both"/>
        <w:rPr>
          <w:sz w:val="22"/>
          <w:szCs w:val="22"/>
        </w:rPr>
      </w:pPr>
      <w:r w:rsidRPr="0035029B">
        <w:rPr>
          <w:sz w:val="22"/>
          <w:szCs w:val="22"/>
        </w:rPr>
        <w:t>Imprevisible: </w:t>
      </w:r>
      <w:r w:rsidRPr="0035029B">
        <w:rPr>
          <w:color w:val="0070C0"/>
          <w:sz w:val="22"/>
          <w:szCs w:val="22"/>
        </w:rPr>
        <w:t>6 meses (ampliable 1 año).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35029B">
        <w:rPr>
          <w:color w:val="0070C0"/>
          <w:sz w:val="22"/>
          <w:szCs w:val="22"/>
        </w:rPr>
        <w:t>90 días por año natural,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t>Contratos de duración determinada por sustitución de personas trabajadoras</w:t>
      </w:r>
    </w:p>
    <w:p w14:paraId="34D02186" w14:textId="77777777" w:rsidR="00922E01" w:rsidRPr="002105F2" w:rsidRDefault="00922E01" w:rsidP="00922E01">
      <w:pPr>
        <w:numPr>
          <w:ilvl w:val="0"/>
          <w:numId w:val="10"/>
        </w:numPr>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922E01">
      <w:pPr>
        <w:numPr>
          <w:ilvl w:val="0"/>
          <w:numId w:val="10"/>
        </w:numPr>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922E01">
      <w:pPr>
        <w:numPr>
          <w:ilvl w:val="0"/>
          <w:numId w:val="10"/>
        </w:numPr>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lastRenderedPageBreak/>
        <w:t>Duración:</w:t>
      </w:r>
    </w:p>
    <w:p w14:paraId="5DD0C8E8"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77777777" w:rsidR="00922E01" w:rsidRPr="002105F2" w:rsidRDefault="00922E01" w:rsidP="00922E01">
      <w:pPr>
        <w:numPr>
          <w:ilvl w:val="0"/>
          <w:numId w:val="11"/>
        </w:numPr>
        <w:jc w:val="both"/>
        <w:rPr>
          <w:color w:val="0070C0"/>
          <w:sz w:val="22"/>
          <w:szCs w:val="22"/>
        </w:rPr>
      </w:pPr>
      <w:r w:rsidRPr="002105F2">
        <w:rPr>
          <w:color w:val="0070C0"/>
          <w:sz w:val="22"/>
          <w:szCs w:val="22"/>
        </w:rPr>
        <w:t>En procesos de selección, su duración máxima será de tres meses.</w:t>
      </w:r>
    </w:p>
    <w:p w14:paraId="296A9578" w14:textId="77777777" w:rsidR="00922E01" w:rsidRPr="0035029B" w:rsidRDefault="00922E01" w:rsidP="00922E01">
      <w:pPr>
        <w:jc w:val="both"/>
        <w:rPr>
          <w:sz w:val="22"/>
          <w:szCs w:val="22"/>
        </w:rPr>
      </w:pPr>
      <w:r w:rsidRPr="0035029B">
        <w:rPr>
          <w:sz w:val="22"/>
          <w:szCs w:val="22"/>
        </w:rPr>
        <w:t>Indemnización: </w:t>
      </w:r>
      <w:r w:rsidRPr="0035029B">
        <w:rPr>
          <w:color w:val="0070C0"/>
          <w:sz w:val="22"/>
          <w:szCs w:val="22"/>
        </w:rPr>
        <w:t>0 €.</w:t>
      </w:r>
    </w:p>
    <w:p w14:paraId="78F4E26C" w14:textId="77777777" w:rsidR="00922E01" w:rsidRPr="00922E01" w:rsidRDefault="00922E01" w:rsidP="00922E01">
      <w:pPr>
        <w:jc w:val="both"/>
        <w:rPr>
          <w:b/>
          <w:bCs/>
          <w:sz w:val="22"/>
          <w:szCs w:val="22"/>
        </w:rPr>
      </w:pPr>
      <w:r w:rsidRPr="00922E01">
        <w:rPr>
          <w:b/>
          <w:bCs/>
          <w:sz w:val="22"/>
          <w:szCs w:val="22"/>
        </w:rPr>
        <w:t>B. Contratos formativos</w:t>
      </w:r>
    </w:p>
    <w:p w14:paraId="659F5486" w14:textId="77777777" w:rsidR="00922E01" w:rsidRPr="0045322C" w:rsidRDefault="00922E01" w:rsidP="00922E01">
      <w:pPr>
        <w:jc w:val="both"/>
        <w:rPr>
          <w:color w:val="0070C0"/>
          <w:sz w:val="22"/>
          <w:szCs w:val="22"/>
        </w:rPr>
      </w:pPr>
      <w:r w:rsidRPr="0045322C">
        <w:rPr>
          <w:color w:val="0070C0"/>
          <w:sz w:val="22"/>
          <w:szCs w:val="22"/>
        </w:rPr>
        <w:t>Los contratos formativos tienen como finalidad fomentar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77777777" w:rsidR="00922E01" w:rsidRPr="0045322C" w:rsidRDefault="00922E01" w:rsidP="00922E01">
      <w:pPr>
        <w:jc w:val="both"/>
        <w:rPr>
          <w:color w:val="0070C0"/>
          <w:sz w:val="22"/>
          <w:szCs w:val="22"/>
        </w:rPr>
      </w:pPr>
      <w:r w:rsidRPr="0045322C">
        <w:rPr>
          <w:color w:val="0070C0"/>
          <w:sz w:val="22"/>
          <w:szCs w:val="22"/>
        </w:rPr>
        <w:t xml:space="preserve"> 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922E01">
      <w:pPr>
        <w:numPr>
          <w:ilvl w:val="1"/>
          <w:numId w:val="12"/>
        </w:numPr>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77777777" w:rsidR="00922E01" w:rsidRPr="0045322C" w:rsidRDefault="00922E01" w:rsidP="00922E01">
      <w:pPr>
        <w:numPr>
          <w:ilvl w:val="1"/>
          <w:numId w:val="12"/>
        </w:numPr>
        <w:jc w:val="both"/>
        <w:rPr>
          <w:color w:val="0070C0"/>
          <w:sz w:val="22"/>
          <w:szCs w:val="22"/>
        </w:rPr>
      </w:pPr>
      <w:r w:rsidRPr="0045322C">
        <w:rPr>
          <w:color w:val="0070C0"/>
          <w:sz w:val="22"/>
          <w:szCs w:val="22"/>
        </w:rPr>
        <w:t>Debe realizarse dentro de los tres años, o de los cinco años si se concierta con una persona con discapacidad, desde la finalización de los correspondientes estudios.</w:t>
      </w:r>
    </w:p>
    <w:p w14:paraId="631BCC91" w14:textId="77777777" w:rsidR="00922E01" w:rsidRPr="0045322C" w:rsidRDefault="00922E01" w:rsidP="00922E01">
      <w:pPr>
        <w:numPr>
          <w:ilvl w:val="1"/>
          <w:numId w:val="12"/>
        </w:numPr>
        <w:jc w:val="both"/>
        <w:rPr>
          <w:color w:val="0070C0"/>
          <w:sz w:val="22"/>
          <w:szCs w:val="22"/>
        </w:rPr>
      </w:pPr>
      <w:r w:rsidRPr="0045322C">
        <w:rPr>
          <w:color w:val="0070C0"/>
          <w:sz w:val="22"/>
          <w:szCs w:val="22"/>
        </w:rPr>
        <w:t>No podrá celebrarse con quien ya haya obtenido experiencia profesional o realizado actividad formativa en la misma actividad dentro de la empresa por un tiempo superior a tres meses.</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77777777" w:rsidR="00922E01" w:rsidRPr="0045322C" w:rsidRDefault="00922E01" w:rsidP="00922E01">
      <w:pPr>
        <w:numPr>
          <w:ilvl w:val="1"/>
          <w:numId w:val="13"/>
        </w:numPr>
        <w:jc w:val="both"/>
        <w:rPr>
          <w:color w:val="0070C0"/>
          <w:sz w:val="22"/>
          <w:szCs w:val="22"/>
        </w:rPr>
      </w:pPr>
      <w:r w:rsidRPr="0045322C">
        <w:rPr>
          <w:color w:val="0070C0"/>
          <w:sz w:val="22"/>
          <w:szCs w:val="22"/>
        </w:rPr>
        <w:t>La duración mínima será de seis meses y la máxima de un año, pudiendo ser concretada dentro de estos límites por el convenio colectivo.</w:t>
      </w:r>
    </w:p>
    <w:p w14:paraId="30CDBB50" w14:textId="77777777" w:rsidR="00922E01" w:rsidRPr="0045322C" w:rsidRDefault="00922E01" w:rsidP="00922E01">
      <w:pPr>
        <w:numPr>
          <w:ilvl w:val="1"/>
          <w:numId w:val="13"/>
        </w:numPr>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7777777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45322C">
        <w:rPr>
          <w:color w:val="0070C0"/>
          <w:sz w:val="22"/>
          <w:szCs w:val="22"/>
        </w:rPr>
        <w:t>Máximo un mes,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922E01">
      <w:pPr>
        <w:numPr>
          <w:ilvl w:val="1"/>
          <w:numId w:val="14"/>
        </w:numPr>
        <w:jc w:val="both"/>
        <w:rPr>
          <w:color w:val="0070C0"/>
          <w:sz w:val="22"/>
          <w:szCs w:val="22"/>
        </w:rPr>
      </w:pPr>
      <w:r w:rsidRPr="0045322C">
        <w:rPr>
          <w:color w:val="0070C0"/>
          <w:sz w:val="22"/>
          <w:szCs w:val="22"/>
        </w:rPr>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922E01">
      <w:pPr>
        <w:numPr>
          <w:ilvl w:val="1"/>
          <w:numId w:val="15"/>
        </w:numPr>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lastRenderedPageBreak/>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922E01">
      <w:pPr>
        <w:numPr>
          <w:ilvl w:val="1"/>
          <w:numId w:val="16"/>
        </w:numPr>
        <w:jc w:val="both"/>
        <w:rPr>
          <w:color w:val="0070C0"/>
          <w:sz w:val="22"/>
          <w:szCs w:val="22"/>
        </w:rPr>
      </w:pPr>
      <w:r w:rsidRPr="0045322C">
        <w:rPr>
          <w:color w:val="0070C0"/>
          <w:sz w:val="22"/>
          <w:szCs w:val="22"/>
        </w:rPr>
        <w:t>Carecer de cualificación profesional que permita realizar un contrato para la obtención de la práctica profesional.</w:t>
      </w:r>
    </w:p>
    <w:p w14:paraId="500A849D" w14:textId="77777777" w:rsidR="00922E01" w:rsidRPr="0045322C" w:rsidRDefault="00922E01" w:rsidP="00922E01">
      <w:pPr>
        <w:numPr>
          <w:ilvl w:val="1"/>
          <w:numId w:val="16"/>
        </w:numPr>
        <w:jc w:val="both"/>
        <w:rPr>
          <w:color w:val="0070C0"/>
          <w:sz w:val="22"/>
          <w:szCs w:val="22"/>
        </w:rPr>
      </w:pPr>
      <w:r w:rsidRPr="0045322C">
        <w:rPr>
          <w:color w:val="0070C0"/>
          <w:sz w:val="22"/>
          <w:szCs w:val="22"/>
        </w:rPr>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922E01">
      <w:pPr>
        <w:numPr>
          <w:ilvl w:val="1"/>
          <w:numId w:val="17"/>
        </w:numPr>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922E01">
      <w:pPr>
        <w:numPr>
          <w:ilvl w:val="1"/>
          <w:numId w:val="18"/>
        </w:numPr>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922E01">
      <w:pPr>
        <w:numPr>
          <w:ilvl w:val="1"/>
          <w:numId w:val="18"/>
        </w:numPr>
        <w:jc w:val="both"/>
        <w:rPr>
          <w:color w:val="0070C0"/>
          <w:sz w:val="22"/>
          <w:szCs w:val="22"/>
        </w:rPr>
      </w:pPr>
      <w:r w:rsidRPr="0045322C">
        <w:rPr>
          <w:color w:val="0070C0"/>
          <w:sz w:val="22"/>
          <w:szCs w:val="22"/>
        </w:rPr>
        <w:t>El tiempo de trabajo efectivo será máximo un 65 % el primer año, y un 85% el segundo año.</w:t>
      </w:r>
    </w:p>
    <w:p w14:paraId="63FAFD53"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922E01">
      <w:pPr>
        <w:numPr>
          <w:ilvl w:val="1"/>
          <w:numId w:val="18"/>
        </w:numPr>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922E01">
      <w:pPr>
        <w:numPr>
          <w:ilvl w:val="0"/>
          <w:numId w:val="16"/>
        </w:numPr>
        <w:jc w:val="both"/>
        <w:rPr>
          <w:sz w:val="22"/>
          <w:szCs w:val="22"/>
        </w:rPr>
      </w:pPr>
      <w:r w:rsidRPr="0045322C">
        <w:rPr>
          <w:sz w:val="22"/>
          <w:szCs w:val="22"/>
        </w:rPr>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La retribución será la fijada por el convenio colectivo. En su defecto, no podrá ser inferior al 60 % (primer año) ni al 75 % (segundo año) de la fijada para el grupo profesional o nivel correspondiente, no pudiendo ser inferior al SMI.</w:t>
      </w:r>
    </w:p>
    <w:p w14:paraId="1104D666" w14:textId="77777777" w:rsidR="00922E01" w:rsidRPr="00922E01"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710B6E2B" w14:textId="77777777" w:rsidR="00962E65" w:rsidRDefault="00962E65" w:rsidP="00922E01">
      <w:pPr>
        <w:jc w:val="both"/>
        <w:rPr>
          <w:b/>
          <w:bCs/>
          <w:color w:val="4EA72E" w:themeColor="accent6"/>
          <w:sz w:val="22"/>
          <w:szCs w:val="22"/>
        </w:rPr>
      </w:pPr>
    </w:p>
    <w:p w14:paraId="15187F19" w14:textId="77777777" w:rsidR="00962E65" w:rsidRDefault="00962E65" w:rsidP="00922E01">
      <w:pPr>
        <w:jc w:val="both"/>
        <w:rPr>
          <w:b/>
          <w:bCs/>
          <w:color w:val="4EA72E" w:themeColor="accent6"/>
          <w:sz w:val="22"/>
          <w:szCs w:val="22"/>
        </w:rPr>
      </w:pP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lastRenderedPageBreak/>
        <w:t>Contratos a tiempo parcial</w:t>
      </w:r>
    </w:p>
    <w:p w14:paraId="3638712A" w14:textId="77777777" w:rsidR="00922E01" w:rsidRPr="00F929A6" w:rsidRDefault="00922E01" w:rsidP="00922E01">
      <w:pPr>
        <w:jc w:val="both"/>
        <w:rPr>
          <w:color w:val="0070C0"/>
          <w:sz w:val="22"/>
          <w:szCs w:val="22"/>
        </w:rPr>
      </w:pPr>
      <w:r w:rsidRPr="00F929A6">
        <w:rPr>
          <w:color w:val="0070C0"/>
          <w:sz w:val="22"/>
          <w:szCs w:val="22"/>
        </w:rPr>
        <w:t>El contrato a tiempo parcial es el que se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t>Forma</w:t>
            </w:r>
          </w:p>
        </w:tc>
        <w:tc>
          <w:tcPr>
            <w:tcW w:w="8696" w:type="dxa"/>
            <w:gridSpan w:val="2"/>
          </w:tcPr>
          <w:p w14:paraId="544F01ED" w14:textId="77777777" w:rsidR="00922E01" w:rsidRPr="00F929A6" w:rsidRDefault="00922E01" w:rsidP="00922E01">
            <w:pPr>
              <w:jc w:val="both"/>
              <w:rPr>
                <w:color w:val="0070C0"/>
                <w:sz w:val="20"/>
                <w:szCs w:val="20"/>
              </w:rPr>
            </w:pPr>
            <w:r w:rsidRPr="00F929A6">
              <w:rPr>
                <w:color w:val="0070C0"/>
                <w:sz w:val="20"/>
                <w:szCs w:val="20"/>
              </w:rPr>
              <w:t>Siempre por escrito indicando el número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no inferiores a 10 h semanales 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F929A6">
              <w:rPr>
                <w:color w:val="0070C0"/>
                <w:sz w:val="20"/>
                <w:szCs w:val="20"/>
              </w:rPr>
              <w:t xml:space="preserve">Horas pactadas: Numero máx. no puede exceder del 30 % de horas ordinarias. El convenio colectivo puede establecer otro porcentaje, entre el 30-60 % de las horas ordinarias contratadas. </w:t>
            </w:r>
          </w:p>
          <w:p w14:paraId="075AE44C" w14:textId="77777777" w:rsidR="00922E01" w:rsidRPr="00F929A6" w:rsidRDefault="00922E01" w:rsidP="00922E01">
            <w:pPr>
              <w:jc w:val="both"/>
              <w:rPr>
                <w:color w:val="0070C0"/>
                <w:sz w:val="20"/>
                <w:szCs w:val="20"/>
              </w:rPr>
            </w:pPr>
            <w:r w:rsidRPr="00F929A6">
              <w:rPr>
                <w:color w:val="0070C0"/>
                <w:sz w:val="20"/>
                <w:szCs w:val="20"/>
              </w:rPr>
              <w:t xml:space="preserve">Horas voluntarias: En contratos indefinidos a tiempo parcial, puede ofrecer la realización de horas complementarias voluntarias, no puede superar el 15 %, ampliable al 30 % por convenio,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4F35C262" w14:textId="77777777" w:rsidR="00922E01" w:rsidRPr="006A553C" w:rsidRDefault="00922E01" w:rsidP="00922E01">
      <w:pPr>
        <w:jc w:val="both"/>
        <w:rPr>
          <w:color w:val="0070C0"/>
          <w:sz w:val="22"/>
          <w:szCs w:val="22"/>
        </w:rPr>
      </w:pPr>
      <w:r w:rsidRPr="006A553C">
        <w:rPr>
          <w:color w:val="0070C0"/>
          <w:sz w:val="22"/>
          <w:szCs w:val="22"/>
        </w:rPr>
        <w:t xml:space="preserve">Hoy en día es habitual que la realización de determinadas obras y servicios se subcontrate a terceros; esta práctica, conocida como outsourcing o externalización, consiste en que una empresa contrata o subcontrata a </w:t>
      </w:r>
      <w:r w:rsidRPr="006A553C">
        <w:rPr>
          <w:color w:val="0070C0"/>
          <w:sz w:val="22"/>
          <w:szCs w:val="22"/>
        </w:rPr>
        <w:lastRenderedPageBreak/>
        <w:t>otra (contratista o subcontratista) para la ejecución de una actividad que tradicionalmente venía desempeñando ella misma, como, por ejemplo, la limpieza o la vigilancia de un edificio.</w:t>
      </w:r>
    </w:p>
    <w:p w14:paraId="0CC2B6AB" w14:textId="77777777" w:rsidR="00CB734A" w:rsidRDefault="00CB734A" w:rsidP="00922E01">
      <w:pPr>
        <w:jc w:val="both"/>
        <w:rPr>
          <w:b/>
          <w:bCs/>
          <w:color w:val="4EA72E" w:themeColor="accent6"/>
          <w:sz w:val="22"/>
          <w:szCs w:val="22"/>
        </w:rPr>
      </w:pPr>
    </w:p>
    <w:p w14:paraId="37A68BFF" w14:textId="77777777" w:rsidR="00CB734A" w:rsidRDefault="00CB734A" w:rsidP="00922E01">
      <w:pPr>
        <w:jc w:val="both"/>
        <w:rPr>
          <w:b/>
          <w:bCs/>
          <w:color w:val="4EA72E" w:themeColor="accent6"/>
          <w:sz w:val="22"/>
          <w:szCs w:val="22"/>
        </w:rPr>
      </w:pP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Pr="006A553C" w:rsidRDefault="007F551E" w:rsidP="006A553C">
      <w:pPr>
        <w:jc w:val="both"/>
        <w:rPr>
          <w:color w:val="0070C0"/>
          <w:sz w:val="22"/>
          <w:szCs w:val="22"/>
        </w:rPr>
      </w:pPr>
      <w:r w:rsidRPr="006A553C">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32F610A2" w14:textId="77777777" w:rsidR="007F551E" w:rsidRPr="0053629B" w:rsidRDefault="007F551E" w:rsidP="00922E01">
      <w:pPr>
        <w:jc w:val="both"/>
      </w:pPr>
    </w:p>
    <w:sectPr w:rsidR="007F551E" w:rsidRPr="0053629B" w:rsidSect="00F04876">
      <w:headerReference w:type="default" r:id="rId7"/>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9213F" w14:textId="77777777" w:rsidR="00C87DBD" w:rsidRDefault="00C87DBD" w:rsidP="00F04876">
      <w:pPr>
        <w:spacing w:after="0" w:line="240" w:lineRule="auto"/>
      </w:pPr>
      <w:r>
        <w:separator/>
      </w:r>
    </w:p>
  </w:endnote>
  <w:endnote w:type="continuationSeparator" w:id="0">
    <w:p w14:paraId="30CED8A0" w14:textId="77777777" w:rsidR="00C87DBD" w:rsidRDefault="00C87DBD"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81567" w14:textId="77777777" w:rsidR="00C87DBD" w:rsidRDefault="00C87DBD" w:rsidP="00F04876">
      <w:pPr>
        <w:spacing w:after="0" w:line="240" w:lineRule="auto"/>
      </w:pPr>
      <w:r>
        <w:separator/>
      </w:r>
    </w:p>
  </w:footnote>
  <w:footnote w:type="continuationSeparator" w:id="0">
    <w:p w14:paraId="0BD2DEF8" w14:textId="77777777" w:rsidR="00C87DBD" w:rsidRDefault="00C87DBD"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F04876">
    <w:pPr>
      <w:pBdr>
        <w:top w:val="single" w:sz="4" w:space="1" w:color="auto"/>
        <w:bottom w:val="single" w:sz="4" w:space="1" w:color="auto"/>
      </w:pBdr>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2CB6"/>
      </v:shape>
    </w:pic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6FF3"/>
    <w:multiLevelType w:val="multilevel"/>
    <w:tmpl w:val="185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12"/>
  </w:num>
  <w:num w:numId="2" w16cid:durableId="1697925771">
    <w:abstractNumId w:val="2"/>
  </w:num>
  <w:num w:numId="3" w16cid:durableId="1700624909">
    <w:abstractNumId w:val="1"/>
  </w:num>
  <w:num w:numId="4" w16cid:durableId="1366516328">
    <w:abstractNumId w:val="7"/>
  </w:num>
  <w:num w:numId="5" w16cid:durableId="1916239623">
    <w:abstractNumId w:val="16"/>
  </w:num>
  <w:num w:numId="6" w16cid:durableId="1183737518">
    <w:abstractNumId w:val="0"/>
  </w:num>
  <w:num w:numId="7" w16cid:durableId="510416695">
    <w:abstractNumId w:val="15"/>
  </w:num>
  <w:num w:numId="8" w16cid:durableId="850872342">
    <w:abstractNumId w:val="4"/>
  </w:num>
  <w:num w:numId="9" w16cid:durableId="2008512974">
    <w:abstractNumId w:val="8"/>
  </w:num>
  <w:num w:numId="10" w16cid:durableId="2110394869">
    <w:abstractNumId w:val="9"/>
  </w:num>
  <w:num w:numId="11" w16cid:durableId="1325620113">
    <w:abstractNumId w:val="3"/>
  </w:num>
  <w:num w:numId="12" w16cid:durableId="707804745">
    <w:abstractNumId w:val="5"/>
  </w:num>
  <w:num w:numId="13" w16cid:durableId="377363823">
    <w:abstractNumId w:val="5"/>
    <w:lvlOverride w:ilvl="1">
      <w:startOverride w:val="1"/>
    </w:lvlOverride>
  </w:num>
  <w:num w:numId="14" w16cid:durableId="1282616183">
    <w:abstractNumId w:val="5"/>
    <w:lvlOverride w:ilvl="1">
      <w:startOverride w:val="1"/>
    </w:lvlOverride>
  </w:num>
  <w:num w:numId="15" w16cid:durableId="300615860">
    <w:abstractNumId w:val="5"/>
    <w:lvlOverride w:ilvl="1">
      <w:startOverride w:val="1"/>
    </w:lvlOverride>
  </w:num>
  <w:num w:numId="16" w16cid:durableId="403265962">
    <w:abstractNumId w:val="11"/>
  </w:num>
  <w:num w:numId="17" w16cid:durableId="477066835">
    <w:abstractNumId w:val="11"/>
    <w:lvlOverride w:ilvl="1">
      <w:startOverride w:val="1"/>
    </w:lvlOverride>
  </w:num>
  <w:num w:numId="18" w16cid:durableId="1457260931">
    <w:abstractNumId w:val="11"/>
    <w:lvlOverride w:ilvl="1">
      <w:startOverride w:val="1"/>
    </w:lvlOverride>
  </w:num>
  <w:num w:numId="19" w16cid:durableId="1845246510">
    <w:abstractNumId w:val="11"/>
    <w:lvlOverride w:ilvl="1">
      <w:startOverride w:val="1"/>
    </w:lvlOverride>
  </w:num>
  <w:num w:numId="20" w16cid:durableId="1068503950">
    <w:abstractNumId w:val="14"/>
  </w:num>
  <w:num w:numId="21" w16cid:durableId="414329009">
    <w:abstractNumId w:val="13"/>
  </w:num>
  <w:num w:numId="22" w16cid:durableId="866672784">
    <w:abstractNumId w:val="10"/>
  </w:num>
  <w:num w:numId="23" w16cid:durableId="1894341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2105F2"/>
    <w:rsid w:val="0035029B"/>
    <w:rsid w:val="0045322C"/>
    <w:rsid w:val="004E3D56"/>
    <w:rsid w:val="00537562"/>
    <w:rsid w:val="006A553C"/>
    <w:rsid w:val="007F551E"/>
    <w:rsid w:val="008F5A5C"/>
    <w:rsid w:val="00922E01"/>
    <w:rsid w:val="00962E65"/>
    <w:rsid w:val="00B751DD"/>
    <w:rsid w:val="00C36598"/>
    <w:rsid w:val="00C87DBD"/>
    <w:rsid w:val="00CB734A"/>
    <w:rsid w:val="00EA454F"/>
    <w:rsid w:val="00EA5240"/>
    <w:rsid w:val="00F04876"/>
    <w:rsid w:val="00F92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3176</Words>
  <Characters>17469</Characters>
  <Application>Microsoft Office Word</Application>
  <DocSecurity>0</DocSecurity>
  <Lines>145</Lines>
  <Paragraphs>41</Paragraphs>
  <ScaleCrop>false</ScaleCrop>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13</cp:revision>
  <dcterms:created xsi:type="dcterms:W3CDTF">2025-02-11T19:06:00Z</dcterms:created>
  <dcterms:modified xsi:type="dcterms:W3CDTF">2025-02-12T19:10:00Z</dcterms:modified>
</cp:coreProperties>
</file>