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44CC0" w14:textId="77777777" w:rsidR="007347C4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风格轮动因子筛选系统</w:t>
      </w:r>
      <w:r>
        <w:rPr>
          <w:lang w:eastAsia="zh-CN"/>
        </w:rPr>
        <w:t xml:space="preserve"> v0.1</w:t>
      </w:r>
    </w:p>
    <w:p w14:paraId="6EC15955" w14:textId="77777777" w:rsidR="007347C4" w:rsidRDefault="00000000">
      <w:pPr>
        <w:jc w:val="center"/>
        <w:rPr>
          <w:lang w:eastAsia="zh-CN"/>
        </w:rPr>
      </w:pPr>
      <w:r>
        <w:rPr>
          <w:b/>
          <w:sz w:val="24"/>
          <w:lang w:eastAsia="zh-CN"/>
        </w:rPr>
        <w:t>研究设计与系统构建方案</w:t>
      </w:r>
    </w:p>
    <w:p w14:paraId="0A8D0E30" w14:textId="77777777" w:rsidR="007347C4" w:rsidRDefault="007347C4">
      <w:pPr>
        <w:rPr>
          <w:lang w:eastAsia="zh-CN"/>
        </w:rPr>
      </w:pPr>
    </w:p>
    <w:p w14:paraId="60660819" w14:textId="77777777" w:rsidR="007347C4" w:rsidRDefault="00000000">
      <w:pPr>
        <w:pStyle w:val="1"/>
        <w:rPr>
          <w:lang w:eastAsia="zh-CN"/>
        </w:rPr>
      </w:pPr>
      <w:r>
        <w:rPr>
          <w:lang w:eastAsia="zh-CN"/>
        </w:rPr>
        <w:t>第一部分</w:t>
      </w:r>
      <w:r>
        <w:rPr>
          <w:lang w:eastAsia="zh-CN"/>
        </w:rPr>
        <w:t xml:space="preserve"> </w:t>
      </w:r>
      <w:r>
        <w:rPr>
          <w:lang w:eastAsia="zh-CN"/>
        </w:rPr>
        <w:t>研究设计</w:t>
      </w:r>
    </w:p>
    <w:p w14:paraId="45519DEB" w14:textId="77777777" w:rsidR="007347C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研究目标</w:t>
      </w:r>
    </w:p>
    <w:p w14:paraId="67241D5B" w14:textId="77777777" w:rsidR="007347C4" w:rsidRDefault="00000000">
      <w:pPr>
        <w:rPr>
          <w:lang w:eastAsia="zh-CN"/>
        </w:rPr>
      </w:pPr>
      <w:r>
        <w:rPr>
          <w:lang w:eastAsia="zh-CN"/>
        </w:rPr>
        <w:t>建立一个统一、可复现、可扩展的单因子测试引擎，评估基于复权日线 OHLCV 构造的资产级因子，对四种美国股票风格未来相对收益的预测能力，并比较纯横截面策略与绝对趋势过滤策略。</w:t>
      </w:r>
    </w:p>
    <w:p w14:paraId="6F8715DB" w14:textId="77777777" w:rsidR="007347C4" w:rsidRDefault="00000000">
      <w:pPr>
        <w:pStyle w:val="aff9"/>
        <w:rPr>
          <w:lang w:eastAsia="zh-CN"/>
        </w:rPr>
      </w:pPr>
      <w:r>
        <w:rPr>
          <w:lang w:eastAsia="zh-CN"/>
        </w:rPr>
        <w:t>系统定位为滚动回测与研究展示平台：所有因子公式、参数、调仓频率、交易成本和策略模板均在每次回测前固定。系统用于观察固定候选信号在指定历史区间内的相对表现，不承担自动寻找最优参数或证明因子永久有效的任务。</w:t>
      </w:r>
    </w:p>
    <w:p w14:paraId="2C5E5EAF" w14:textId="77777777" w:rsidR="007347C4" w:rsidRDefault="00000000">
      <w:pPr>
        <w:pStyle w:val="21"/>
      </w:pPr>
      <w:r>
        <w:t xml:space="preserve">2. </w:t>
      </w:r>
      <w:r>
        <w:t>资产池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7347C4" w14:paraId="6E674E35" w14:textId="77777777">
        <w:trPr>
          <w:jc w:val="center"/>
        </w:trPr>
        <w:tc>
          <w:tcPr>
            <w:tcW w:w="3173" w:type="dxa"/>
            <w:shd w:val="clear" w:color="auto" w:fill="EDEDED"/>
            <w:vAlign w:val="center"/>
          </w:tcPr>
          <w:p w14:paraId="3B63173F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代码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637FA427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英文名称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32C944F6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中文定位</w:t>
            </w:r>
          </w:p>
        </w:tc>
      </w:tr>
      <w:tr w:rsidR="007347C4" w14:paraId="4125FE0F" w14:textId="77777777">
        <w:trPr>
          <w:jc w:val="center"/>
        </w:trPr>
        <w:tc>
          <w:tcPr>
            <w:tcW w:w="3173" w:type="dxa"/>
            <w:vAlign w:val="center"/>
          </w:tcPr>
          <w:p w14:paraId="0C3033FA" w14:textId="77777777" w:rsidR="007347C4" w:rsidRDefault="00000000">
            <w:pPr>
              <w:spacing w:after="0"/>
            </w:pPr>
            <w:r>
              <w:rPr>
                <w:sz w:val="19"/>
              </w:rPr>
              <w:t>IWF</w:t>
            </w:r>
          </w:p>
        </w:tc>
        <w:tc>
          <w:tcPr>
            <w:tcW w:w="3173" w:type="dxa"/>
            <w:vAlign w:val="center"/>
          </w:tcPr>
          <w:p w14:paraId="3046C6E0" w14:textId="77777777" w:rsidR="007347C4" w:rsidRDefault="00000000">
            <w:pPr>
              <w:spacing w:after="0"/>
            </w:pPr>
            <w:r>
              <w:rPr>
                <w:sz w:val="19"/>
              </w:rPr>
              <w:t>iShares Russell 1000 Growth ETF</w:t>
            </w:r>
          </w:p>
        </w:tc>
        <w:tc>
          <w:tcPr>
            <w:tcW w:w="3173" w:type="dxa"/>
            <w:vAlign w:val="center"/>
          </w:tcPr>
          <w:p w14:paraId="26485D0A" w14:textId="77777777" w:rsidR="007347C4" w:rsidRDefault="00000000">
            <w:pPr>
              <w:spacing w:after="0"/>
            </w:pPr>
            <w:r>
              <w:rPr>
                <w:sz w:val="19"/>
              </w:rPr>
              <w:t>美国大中盘成长</w:t>
            </w:r>
          </w:p>
        </w:tc>
      </w:tr>
      <w:tr w:rsidR="007347C4" w14:paraId="769C4526" w14:textId="77777777">
        <w:trPr>
          <w:jc w:val="center"/>
        </w:trPr>
        <w:tc>
          <w:tcPr>
            <w:tcW w:w="3173" w:type="dxa"/>
            <w:vAlign w:val="center"/>
          </w:tcPr>
          <w:p w14:paraId="69904C7B" w14:textId="77777777" w:rsidR="007347C4" w:rsidRDefault="00000000">
            <w:pPr>
              <w:spacing w:after="0"/>
            </w:pPr>
            <w:r>
              <w:rPr>
                <w:sz w:val="19"/>
              </w:rPr>
              <w:t>IWD</w:t>
            </w:r>
          </w:p>
        </w:tc>
        <w:tc>
          <w:tcPr>
            <w:tcW w:w="3173" w:type="dxa"/>
            <w:vAlign w:val="center"/>
          </w:tcPr>
          <w:p w14:paraId="5FD2EC04" w14:textId="77777777" w:rsidR="007347C4" w:rsidRDefault="00000000">
            <w:pPr>
              <w:spacing w:after="0"/>
            </w:pPr>
            <w:r>
              <w:rPr>
                <w:sz w:val="19"/>
              </w:rPr>
              <w:t>iShares Russell 1000 Value ETF</w:t>
            </w:r>
          </w:p>
        </w:tc>
        <w:tc>
          <w:tcPr>
            <w:tcW w:w="3173" w:type="dxa"/>
            <w:vAlign w:val="center"/>
          </w:tcPr>
          <w:p w14:paraId="39B52D6B" w14:textId="77777777" w:rsidR="007347C4" w:rsidRDefault="00000000">
            <w:pPr>
              <w:spacing w:after="0"/>
            </w:pPr>
            <w:r>
              <w:rPr>
                <w:sz w:val="19"/>
              </w:rPr>
              <w:t>美国大中盘价值</w:t>
            </w:r>
          </w:p>
        </w:tc>
      </w:tr>
      <w:tr w:rsidR="007347C4" w14:paraId="76D148C6" w14:textId="77777777">
        <w:trPr>
          <w:jc w:val="center"/>
        </w:trPr>
        <w:tc>
          <w:tcPr>
            <w:tcW w:w="3173" w:type="dxa"/>
            <w:vAlign w:val="center"/>
          </w:tcPr>
          <w:p w14:paraId="6415B67E" w14:textId="77777777" w:rsidR="007347C4" w:rsidRDefault="00000000">
            <w:pPr>
              <w:spacing w:after="0"/>
            </w:pPr>
            <w:r>
              <w:rPr>
                <w:sz w:val="19"/>
              </w:rPr>
              <w:t>IWO</w:t>
            </w:r>
          </w:p>
        </w:tc>
        <w:tc>
          <w:tcPr>
            <w:tcW w:w="3173" w:type="dxa"/>
            <w:vAlign w:val="center"/>
          </w:tcPr>
          <w:p w14:paraId="3006EAFF" w14:textId="77777777" w:rsidR="007347C4" w:rsidRDefault="00000000">
            <w:pPr>
              <w:spacing w:after="0"/>
            </w:pPr>
            <w:r>
              <w:rPr>
                <w:sz w:val="19"/>
              </w:rPr>
              <w:t>iShares Russell 2000 Growth ETF</w:t>
            </w:r>
          </w:p>
        </w:tc>
        <w:tc>
          <w:tcPr>
            <w:tcW w:w="3173" w:type="dxa"/>
            <w:vAlign w:val="center"/>
          </w:tcPr>
          <w:p w14:paraId="14720FB5" w14:textId="77777777" w:rsidR="007347C4" w:rsidRDefault="00000000">
            <w:pPr>
              <w:spacing w:after="0"/>
            </w:pPr>
            <w:r>
              <w:rPr>
                <w:sz w:val="19"/>
              </w:rPr>
              <w:t>美国小盘成长</w:t>
            </w:r>
          </w:p>
        </w:tc>
      </w:tr>
      <w:tr w:rsidR="007347C4" w14:paraId="22ACFC6A" w14:textId="77777777">
        <w:trPr>
          <w:jc w:val="center"/>
        </w:trPr>
        <w:tc>
          <w:tcPr>
            <w:tcW w:w="3173" w:type="dxa"/>
            <w:vAlign w:val="center"/>
          </w:tcPr>
          <w:p w14:paraId="55E1D2B5" w14:textId="77777777" w:rsidR="007347C4" w:rsidRDefault="00000000">
            <w:pPr>
              <w:spacing w:after="0"/>
            </w:pPr>
            <w:r>
              <w:rPr>
                <w:sz w:val="19"/>
              </w:rPr>
              <w:t>IWN</w:t>
            </w:r>
          </w:p>
        </w:tc>
        <w:tc>
          <w:tcPr>
            <w:tcW w:w="3173" w:type="dxa"/>
            <w:vAlign w:val="center"/>
          </w:tcPr>
          <w:p w14:paraId="535D507B" w14:textId="77777777" w:rsidR="007347C4" w:rsidRDefault="00000000">
            <w:pPr>
              <w:spacing w:after="0"/>
            </w:pPr>
            <w:r>
              <w:rPr>
                <w:sz w:val="19"/>
              </w:rPr>
              <w:t>iShares Russell 2000 Value ETF</w:t>
            </w:r>
          </w:p>
        </w:tc>
        <w:tc>
          <w:tcPr>
            <w:tcW w:w="3173" w:type="dxa"/>
            <w:vAlign w:val="center"/>
          </w:tcPr>
          <w:p w14:paraId="3DE559A6" w14:textId="77777777" w:rsidR="007347C4" w:rsidRDefault="00000000">
            <w:pPr>
              <w:spacing w:after="0"/>
            </w:pPr>
            <w:r>
              <w:rPr>
                <w:sz w:val="19"/>
              </w:rPr>
              <w:t>美国小盘价值</w:t>
            </w:r>
          </w:p>
        </w:tc>
      </w:tr>
    </w:tbl>
    <w:p w14:paraId="615C3071" w14:textId="77777777" w:rsidR="007347C4" w:rsidRDefault="007347C4"/>
    <w:p w14:paraId="28BB5943" w14:textId="77777777" w:rsidR="007347C4" w:rsidRDefault="00000000">
      <w:r>
        <w:t>储备仓位：</w:t>
      </w:r>
    </w:p>
    <w:p w14:paraId="365C1CA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使用 3 个月美国国债收益率代理低风险现金收益。</w:t>
      </w:r>
    </w:p>
    <w:p w14:paraId="06C33CA9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储备仓位不参与四只风格 ETF 的横截面排名。</w:t>
      </w:r>
    </w:p>
    <w:p w14:paraId="0AFACFA7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仅接收绝对过滤后未使用的风险预算，不视为第五只候选资产。</w:t>
      </w:r>
    </w:p>
    <w:p w14:paraId="52FCEC3E" w14:textId="77777777" w:rsidR="007347C4" w:rsidRDefault="00000000">
      <w:pPr>
        <w:pStyle w:val="21"/>
      </w:pPr>
      <w:r>
        <w:t xml:space="preserve">3. </w:t>
      </w:r>
      <w:r>
        <w:t>数据</w:t>
      </w:r>
    </w:p>
    <w:p w14:paraId="4BFFF7AA" w14:textId="77777777" w:rsidR="007347C4" w:rsidRDefault="00000000">
      <w:pPr>
        <w:pStyle w:val="a0"/>
        <w:ind w:left="397" w:hanging="142"/>
      </w:pPr>
      <w:r>
        <w:t>四只风格 ETF 的复权日线 OHLCV：yfinance。</w:t>
      </w:r>
    </w:p>
    <w:p w14:paraId="35CD193D" w14:textId="77777777" w:rsidR="007347C4" w:rsidRDefault="00000000">
      <w:pPr>
        <w:pStyle w:val="a0"/>
        <w:ind w:left="397" w:hanging="142"/>
      </w:pPr>
      <w:r>
        <w:lastRenderedPageBreak/>
        <w:t>SPY 的复权日线 OHLCV：yfinance。</w:t>
      </w:r>
    </w:p>
    <w:p w14:paraId="184E02E4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交易日历：以有效行情日期索引识别美国市场实际交易日。</w:t>
      </w:r>
    </w:p>
    <w:p w14:paraId="03D1B47B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储备仓位收益：FRED DGS3MO（3 个月期美国国债收益率）。</w:t>
      </w:r>
    </w:p>
    <w:p w14:paraId="1F05896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原始数据与清洗后数据分层保存；复权口径在全系统中保持一致。</w:t>
      </w:r>
    </w:p>
    <w:p w14:paraId="32743F0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统一暖机期至少 252 个交易日，并以所有资产和因子均有效的日期作为共同回测起点。</w:t>
      </w:r>
    </w:p>
    <w:p w14:paraId="30A1F15D" w14:textId="77777777" w:rsidR="007347C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信号与执行时点</w:t>
      </w:r>
    </w:p>
    <w:p w14:paraId="4FB55B1F" w14:textId="77777777" w:rsidR="007347C4" w:rsidRDefault="00000000">
      <w:pPr>
        <w:rPr>
          <w:lang w:eastAsia="zh-CN"/>
        </w:rPr>
      </w:pPr>
      <w:r>
        <w:rPr>
          <w:lang w:eastAsia="zh-CN"/>
        </w:rPr>
        <w:t>周频主测试：</w:t>
      </w:r>
    </w:p>
    <w:p w14:paraId="7B758209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每周最后一个实际交易日收盘后计算因子与目标仓位。</w:t>
      </w:r>
    </w:p>
    <w:p w14:paraId="660A81F0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仅使用当日收盘及以前可获得的数据。</w:t>
      </w:r>
    </w:p>
    <w:p w14:paraId="3C27B8F7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在下一实际交易日开盘执行调仓。</w:t>
      </w:r>
    </w:p>
    <w:p w14:paraId="5AEFC155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持有至下一次调仓执行时点。</w:t>
      </w:r>
    </w:p>
    <w:p w14:paraId="3AD8BF68" w14:textId="77777777" w:rsidR="007347C4" w:rsidRDefault="00000000">
      <w:r>
        <w:t>月频对照测试：</w:t>
      </w:r>
    </w:p>
    <w:p w14:paraId="2833D758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每月最后一个实际交易日收盘后计算。</w:t>
      </w:r>
    </w:p>
    <w:p w14:paraId="67D90749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下一实际交易日开盘执行。</w:t>
      </w:r>
    </w:p>
    <w:p w14:paraId="0BF95DD4" w14:textId="77777777" w:rsidR="007347C4" w:rsidRDefault="00000000">
      <w:pPr>
        <w:pStyle w:val="aff9"/>
        <w:rPr>
          <w:lang w:eastAsia="zh-CN"/>
        </w:rPr>
      </w:pPr>
      <w:r>
        <w:rPr>
          <w:lang w:eastAsia="zh-CN"/>
        </w:rPr>
        <w:t>不得使用同一根收盘价同时生成信号并假设按该收盘价成交；执行价格与信号价格必须严格错开。</w:t>
      </w:r>
    </w:p>
    <w:p w14:paraId="78914D7A" w14:textId="77777777" w:rsidR="007347C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策略模板</w:t>
      </w:r>
    </w:p>
    <w:p w14:paraId="79563BC0" w14:textId="77777777" w:rsidR="007347C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模板</w:t>
      </w:r>
      <w:r>
        <w:rPr>
          <w:lang w:eastAsia="zh-CN"/>
        </w:rPr>
        <w:t xml:space="preserve"> A</w:t>
      </w:r>
      <w:r>
        <w:rPr>
          <w:lang w:eastAsia="zh-CN"/>
        </w:rPr>
        <w:t>：纯横截面</w:t>
      </w:r>
    </w:p>
    <w:p w14:paraId="7C3F2D75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按单因子对四只 ETF 进行统一方向处理和横截面排序。</w:t>
      </w:r>
    </w:p>
    <w:p w14:paraId="1EBFD353" w14:textId="77777777" w:rsidR="007347C4" w:rsidRDefault="00000000">
      <w:pPr>
        <w:pStyle w:val="a0"/>
        <w:ind w:left="397" w:hanging="142"/>
      </w:pPr>
      <w:r>
        <w:t>持有排名前二的 ETF，各配置 50%。</w:t>
      </w:r>
    </w:p>
    <w:p w14:paraId="401AC755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排名后二的 ETF 权重为 0。</w:t>
      </w:r>
    </w:p>
    <w:p w14:paraId="5E5DD9D9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策略始终保持 100% 股票风险资产仓位。</w:t>
      </w:r>
    </w:p>
    <w:p w14:paraId="517B4F18" w14:textId="5700F48C" w:rsidR="007347C4" w:rsidRPr="00CA4355" w:rsidRDefault="00000000">
      <w:pPr>
        <w:pStyle w:val="31"/>
        <w:rPr>
          <w:rFonts w:eastAsia="宋体" w:hint="eastAsia"/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模板</w:t>
      </w:r>
      <w:r>
        <w:rPr>
          <w:lang w:eastAsia="zh-CN"/>
        </w:rPr>
        <w:t xml:space="preserve"> B</w:t>
      </w:r>
      <w:r>
        <w:rPr>
          <w:lang w:eastAsia="zh-CN"/>
        </w:rPr>
        <w:t>：绝对趋势过滤</w:t>
      </w:r>
      <w:r>
        <w:rPr>
          <w:lang w:eastAsia="zh-CN"/>
        </w:rPr>
        <w:t xml:space="preserve"> + </w:t>
      </w:r>
      <w:r>
        <w:rPr>
          <w:lang w:eastAsia="zh-CN"/>
        </w:rPr>
        <w:t>横截面</w:t>
      </w:r>
    </w:p>
    <w:p w14:paraId="02962FD4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固定过滤条件：当日复权收盘价高于过去 200 个交易日复权收盘价的简单移动平均。</w:t>
      </w:r>
    </w:p>
    <w:p w14:paraId="56B57EE7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200 日均线仅作为固定风险过滤器，不属于本轮待筛选因子。</w:t>
      </w:r>
    </w:p>
    <w:p w14:paraId="0BD2482E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lastRenderedPageBreak/>
        <w:t>先移除未通过过滤的 ETF，再对剩余 ETF 进行横截面排序。</w:t>
      </w:r>
    </w:p>
    <w:p w14:paraId="1D27B22D" w14:textId="77777777" w:rsidR="007347C4" w:rsidRDefault="00000000">
      <w:pPr>
        <w:pStyle w:val="a0"/>
        <w:ind w:left="397" w:hanging="142"/>
      </w:pPr>
      <w:r>
        <w:t>最多持有排名前二的 ETF，每只最多配置 50%。</w:t>
      </w:r>
    </w:p>
    <w:p w14:paraId="16EB3B4C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若仅一只 ETF 合格，则该 ETF 配置 50%，其余 50%进入储备仓位。</w:t>
      </w:r>
    </w:p>
    <w:p w14:paraId="594E890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若没有 ETF 合格，则 100%进入储备仓位。</w:t>
      </w:r>
    </w:p>
    <w:p w14:paraId="34EAE69F" w14:textId="77777777" w:rsidR="007347C4" w:rsidRDefault="00000000">
      <w:pPr>
        <w:pStyle w:val="21"/>
      </w:pPr>
      <w:r>
        <w:t xml:space="preserve">6. </w:t>
      </w:r>
      <w:r>
        <w:t>交易成本</w:t>
      </w:r>
    </w:p>
    <w:p w14:paraId="329E33E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主假设：单边交易成本 5 bps。</w:t>
      </w:r>
    </w:p>
    <w:p w14:paraId="7A3941EF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敏感性测试：单边 2 bps、5 bps、10 bps。</w:t>
      </w:r>
    </w:p>
    <w:p w14:paraId="01A3700E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交易成本按实际权重变化计算，并同时报告成本前与成本后绩效。</w:t>
      </w:r>
    </w:p>
    <w:p w14:paraId="760E70DF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佣金、买卖价差、滑点等统一折算为单边 bps 参数；v0.1 不拆分到逐项费用。</w:t>
      </w:r>
    </w:p>
    <w:p w14:paraId="230D062A" w14:textId="77777777" w:rsidR="007347C4" w:rsidRDefault="00000000">
      <w:pPr>
        <w:pStyle w:val="21"/>
      </w:pPr>
      <w:r>
        <w:t xml:space="preserve">7. </w:t>
      </w:r>
      <w:r>
        <w:t>单因子池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7347C4" w14:paraId="63B68023" w14:textId="77777777">
        <w:trPr>
          <w:jc w:val="center"/>
        </w:trPr>
        <w:tc>
          <w:tcPr>
            <w:tcW w:w="3173" w:type="dxa"/>
            <w:shd w:val="clear" w:color="auto" w:fill="EDEDED"/>
            <w:vAlign w:val="center"/>
          </w:tcPr>
          <w:p w14:paraId="45B22E88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因子类别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5FAFF6DD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因子名称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7C9E65DB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参数 / 窗口</w:t>
            </w:r>
          </w:p>
        </w:tc>
      </w:tr>
      <w:tr w:rsidR="007347C4" w14:paraId="10D9D2BA" w14:textId="77777777">
        <w:trPr>
          <w:jc w:val="center"/>
        </w:trPr>
        <w:tc>
          <w:tcPr>
            <w:tcW w:w="3173" w:type="dxa"/>
            <w:vAlign w:val="center"/>
          </w:tcPr>
          <w:p w14:paraId="6B5EA909" w14:textId="77777777" w:rsidR="007347C4" w:rsidRDefault="00000000">
            <w:pPr>
              <w:spacing w:after="0"/>
            </w:pPr>
            <w:r>
              <w:rPr>
                <w:sz w:val="19"/>
              </w:rPr>
              <w:t>趋势与收益</w:t>
            </w:r>
          </w:p>
        </w:tc>
        <w:tc>
          <w:tcPr>
            <w:tcW w:w="3173" w:type="dxa"/>
            <w:vAlign w:val="center"/>
          </w:tcPr>
          <w:p w14:paraId="2987B4CF" w14:textId="77777777" w:rsidR="007347C4" w:rsidRDefault="00000000">
            <w:pPr>
              <w:spacing w:after="0"/>
            </w:pPr>
            <w:r>
              <w:rPr>
                <w:sz w:val="19"/>
              </w:rPr>
              <w:t>普通动量</w:t>
            </w:r>
          </w:p>
        </w:tc>
        <w:tc>
          <w:tcPr>
            <w:tcW w:w="3173" w:type="dxa"/>
            <w:vAlign w:val="center"/>
          </w:tcPr>
          <w:p w14:paraId="56302A76" w14:textId="77777777" w:rsidR="007347C4" w:rsidRDefault="00000000">
            <w:pPr>
              <w:spacing w:after="0"/>
            </w:pPr>
            <w:r>
              <w:rPr>
                <w:sz w:val="19"/>
              </w:rPr>
              <w:t>20、60、120、252 日</w:t>
            </w:r>
          </w:p>
        </w:tc>
      </w:tr>
      <w:tr w:rsidR="007347C4" w14:paraId="710BA3F2" w14:textId="77777777">
        <w:trPr>
          <w:jc w:val="center"/>
        </w:trPr>
        <w:tc>
          <w:tcPr>
            <w:tcW w:w="3173" w:type="dxa"/>
            <w:vAlign w:val="center"/>
          </w:tcPr>
          <w:p w14:paraId="0F75E597" w14:textId="77777777" w:rsidR="007347C4" w:rsidRDefault="00000000">
            <w:pPr>
              <w:spacing w:after="0"/>
            </w:pPr>
            <w:r>
              <w:rPr>
                <w:sz w:val="19"/>
              </w:rPr>
              <w:t>趋势与收益</w:t>
            </w:r>
          </w:p>
        </w:tc>
        <w:tc>
          <w:tcPr>
            <w:tcW w:w="3173" w:type="dxa"/>
            <w:vAlign w:val="center"/>
          </w:tcPr>
          <w:p w14:paraId="38F5984A" w14:textId="77777777" w:rsidR="007347C4" w:rsidRDefault="00000000">
            <w:pPr>
              <w:spacing w:after="0"/>
            </w:pPr>
            <w:r>
              <w:rPr>
                <w:sz w:val="19"/>
              </w:rPr>
              <w:t>跳过近期动量</w:t>
            </w:r>
          </w:p>
        </w:tc>
        <w:tc>
          <w:tcPr>
            <w:tcW w:w="3173" w:type="dxa"/>
            <w:vAlign w:val="center"/>
          </w:tcPr>
          <w:p w14:paraId="40E01ED5" w14:textId="77777777" w:rsidR="007347C4" w:rsidRDefault="00000000">
            <w:pPr>
              <w:spacing w:after="0"/>
            </w:pPr>
            <w:r>
              <w:rPr>
                <w:sz w:val="19"/>
              </w:rPr>
              <w:t>120-20、252-20</w:t>
            </w:r>
          </w:p>
        </w:tc>
      </w:tr>
      <w:tr w:rsidR="007347C4" w14:paraId="4B136E84" w14:textId="77777777">
        <w:trPr>
          <w:jc w:val="center"/>
        </w:trPr>
        <w:tc>
          <w:tcPr>
            <w:tcW w:w="3173" w:type="dxa"/>
            <w:vAlign w:val="center"/>
          </w:tcPr>
          <w:p w14:paraId="669D818F" w14:textId="77777777" w:rsidR="007347C4" w:rsidRDefault="00000000">
            <w:pPr>
              <w:spacing w:after="0"/>
            </w:pPr>
            <w:r>
              <w:rPr>
                <w:sz w:val="19"/>
              </w:rPr>
              <w:t>趋势与收益</w:t>
            </w:r>
          </w:p>
        </w:tc>
        <w:tc>
          <w:tcPr>
            <w:tcW w:w="3173" w:type="dxa"/>
            <w:vAlign w:val="center"/>
          </w:tcPr>
          <w:p w14:paraId="43803486" w14:textId="77777777" w:rsidR="007347C4" w:rsidRDefault="00000000">
            <w:pPr>
              <w:spacing w:after="0"/>
            </w:pPr>
            <w:r>
              <w:rPr>
                <w:sz w:val="19"/>
              </w:rPr>
              <w:t>短期反转</w:t>
            </w:r>
          </w:p>
        </w:tc>
        <w:tc>
          <w:tcPr>
            <w:tcW w:w="3173" w:type="dxa"/>
            <w:vAlign w:val="center"/>
          </w:tcPr>
          <w:p w14:paraId="286BCFE6" w14:textId="77777777" w:rsidR="007347C4" w:rsidRDefault="00000000">
            <w:pPr>
              <w:spacing w:after="0"/>
            </w:pPr>
            <w:r>
              <w:rPr>
                <w:sz w:val="19"/>
              </w:rPr>
              <w:t>5、10 日</w:t>
            </w:r>
          </w:p>
        </w:tc>
      </w:tr>
      <w:tr w:rsidR="007347C4" w14:paraId="6D326068" w14:textId="77777777">
        <w:trPr>
          <w:jc w:val="center"/>
        </w:trPr>
        <w:tc>
          <w:tcPr>
            <w:tcW w:w="3173" w:type="dxa"/>
            <w:vAlign w:val="center"/>
          </w:tcPr>
          <w:p w14:paraId="43838E20" w14:textId="77777777" w:rsidR="007347C4" w:rsidRDefault="00000000">
            <w:pPr>
              <w:spacing w:after="0"/>
            </w:pPr>
            <w:r>
              <w:rPr>
                <w:sz w:val="19"/>
              </w:rPr>
              <w:t>趋势与收益</w:t>
            </w:r>
          </w:p>
        </w:tc>
        <w:tc>
          <w:tcPr>
            <w:tcW w:w="3173" w:type="dxa"/>
            <w:vAlign w:val="center"/>
          </w:tcPr>
          <w:p w14:paraId="28F0491A" w14:textId="77777777" w:rsidR="007347C4" w:rsidRDefault="00000000">
            <w:pPr>
              <w:spacing w:after="0"/>
            </w:pPr>
            <w:r>
              <w:rPr>
                <w:sz w:val="19"/>
              </w:rPr>
              <w:t>均线趋势</w:t>
            </w:r>
          </w:p>
        </w:tc>
        <w:tc>
          <w:tcPr>
            <w:tcW w:w="3173" w:type="dxa"/>
            <w:vAlign w:val="center"/>
          </w:tcPr>
          <w:p w14:paraId="25313E5E" w14:textId="77777777" w:rsidR="007347C4" w:rsidRDefault="00000000">
            <w:pPr>
              <w:spacing w:after="0"/>
            </w:pPr>
            <w:r>
              <w:rPr>
                <w:sz w:val="19"/>
              </w:rPr>
              <w:t>20/60、60/120</w:t>
            </w:r>
          </w:p>
        </w:tc>
      </w:tr>
      <w:tr w:rsidR="007347C4" w14:paraId="71B9F6C2" w14:textId="77777777">
        <w:trPr>
          <w:jc w:val="center"/>
        </w:trPr>
        <w:tc>
          <w:tcPr>
            <w:tcW w:w="3173" w:type="dxa"/>
            <w:vAlign w:val="center"/>
          </w:tcPr>
          <w:p w14:paraId="40A961D4" w14:textId="77777777" w:rsidR="007347C4" w:rsidRDefault="00000000">
            <w:pPr>
              <w:spacing w:after="0"/>
            </w:pPr>
            <w:r>
              <w:rPr>
                <w:sz w:val="19"/>
              </w:rPr>
              <w:t>趋势与收益</w:t>
            </w:r>
          </w:p>
        </w:tc>
        <w:tc>
          <w:tcPr>
            <w:tcW w:w="3173" w:type="dxa"/>
            <w:vAlign w:val="center"/>
          </w:tcPr>
          <w:p w14:paraId="3D1AD928" w14:textId="77777777" w:rsidR="007347C4" w:rsidRDefault="00000000">
            <w:pPr>
              <w:spacing w:after="0"/>
            </w:pPr>
            <w:r>
              <w:rPr>
                <w:sz w:val="19"/>
              </w:rPr>
              <w:t>距离近期高点</w:t>
            </w:r>
          </w:p>
        </w:tc>
        <w:tc>
          <w:tcPr>
            <w:tcW w:w="3173" w:type="dxa"/>
            <w:vAlign w:val="center"/>
          </w:tcPr>
          <w:p w14:paraId="4A09B6E3" w14:textId="77777777" w:rsidR="007347C4" w:rsidRDefault="00000000">
            <w:pPr>
              <w:spacing w:after="0"/>
            </w:pPr>
            <w:r>
              <w:rPr>
                <w:sz w:val="19"/>
              </w:rPr>
              <w:t>60、120 日</w:t>
            </w:r>
          </w:p>
        </w:tc>
      </w:tr>
      <w:tr w:rsidR="007347C4" w14:paraId="63F06B12" w14:textId="77777777">
        <w:trPr>
          <w:jc w:val="center"/>
        </w:trPr>
        <w:tc>
          <w:tcPr>
            <w:tcW w:w="3173" w:type="dxa"/>
            <w:vAlign w:val="center"/>
          </w:tcPr>
          <w:p w14:paraId="063C5795" w14:textId="77777777" w:rsidR="007347C4" w:rsidRDefault="00000000">
            <w:pPr>
              <w:spacing w:after="0"/>
            </w:pPr>
            <w:r>
              <w:rPr>
                <w:sz w:val="19"/>
              </w:rPr>
              <w:t>风险</w:t>
            </w:r>
          </w:p>
        </w:tc>
        <w:tc>
          <w:tcPr>
            <w:tcW w:w="3173" w:type="dxa"/>
            <w:vAlign w:val="center"/>
          </w:tcPr>
          <w:p w14:paraId="53F8A035" w14:textId="77777777" w:rsidR="007347C4" w:rsidRDefault="00000000">
            <w:pPr>
              <w:spacing w:after="0"/>
            </w:pPr>
            <w:r>
              <w:rPr>
                <w:sz w:val="19"/>
              </w:rPr>
              <w:t>历史波动率</w:t>
            </w:r>
          </w:p>
        </w:tc>
        <w:tc>
          <w:tcPr>
            <w:tcW w:w="3173" w:type="dxa"/>
            <w:vAlign w:val="center"/>
          </w:tcPr>
          <w:p w14:paraId="0426EA1F" w14:textId="77777777" w:rsidR="007347C4" w:rsidRDefault="00000000">
            <w:pPr>
              <w:spacing w:after="0"/>
            </w:pPr>
            <w:r>
              <w:rPr>
                <w:sz w:val="19"/>
              </w:rPr>
              <w:t>20、60 日</w:t>
            </w:r>
          </w:p>
        </w:tc>
      </w:tr>
      <w:tr w:rsidR="007347C4" w14:paraId="7F27D470" w14:textId="77777777">
        <w:trPr>
          <w:jc w:val="center"/>
        </w:trPr>
        <w:tc>
          <w:tcPr>
            <w:tcW w:w="3173" w:type="dxa"/>
            <w:vAlign w:val="center"/>
          </w:tcPr>
          <w:p w14:paraId="19487A24" w14:textId="77777777" w:rsidR="007347C4" w:rsidRDefault="00000000">
            <w:pPr>
              <w:spacing w:after="0"/>
            </w:pPr>
            <w:r>
              <w:rPr>
                <w:sz w:val="19"/>
              </w:rPr>
              <w:t>风险</w:t>
            </w:r>
          </w:p>
        </w:tc>
        <w:tc>
          <w:tcPr>
            <w:tcW w:w="3173" w:type="dxa"/>
            <w:vAlign w:val="center"/>
          </w:tcPr>
          <w:p w14:paraId="0C828070" w14:textId="77777777" w:rsidR="007347C4" w:rsidRDefault="00000000">
            <w:pPr>
              <w:spacing w:after="0"/>
            </w:pPr>
            <w:r>
              <w:rPr>
                <w:sz w:val="19"/>
              </w:rPr>
              <w:t>下行波动率</w:t>
            </w:r>
          </w:p>
        </w:tc>
        <w:tc>
          <w:tcPr>
            <w:tcW w:w="3173" w:type="dxa"/>
            <w:vAlign w:val="center"/>
          </w:tcPr>
          <w:p w14:paraId="0585F580" w14:textId="77777777" w:rsidR="007347C4" w:rsidRDefault="00000000">
            <w:pPr>
              <w:spacing w:after="0"/>
            </w:pPr>
            <w:r>
              <w:rPr>
                <w:sz w:val="19"/>
              </w:rPr>
              <w:t>20、60 日</w:t>
            </w:r>
          </w:p>
        </w:tc>
      </w:tr>
      <w:tr w:rsidR="007347C4" w14:paraId="4293FD37" w14:textId="77777777">
        <w:trPr>
          <w:jc w:val="center"/>
        </w:trPr>
        <w:tc>
          <w:tcPr>
            <w:tcW w:w="3173" w:type="dxa"/>
            <w:vAlign w:val="center"/>
          </w:tcPr>
          <w:p w14:paraId="360DBB95" w14:textId="77777777" w:rsidR="007347C4" w:rsidRDefault="00000000">
            <w:pPr>
              <w:spacing w:after="0"/>
            </w:pPr>
            <w:r>
              <w:rPr>
                <w:sz w:val="19"/>
              </w:rPr>
              <w:t>风险</w:t>
            </w:r>
          </w:p>
        </w:tc>
        <w:tc>
          <w:tcPr>
            <w:tcW w:w="3173" w:type="dxa"/>
            <w:vAlign w:val="center"/>
          </w:tcPr>
          <w:p w14:paraId="47E21660" w14:textId="77777777" w:rsidR="007347C4" w:rsidRDefault="00000000">
            <w:pPr>
              <w:spacing w:after="0"/>
            </w:pPr>
            <w:r>
              <w:rPr>
                <w:sz w:val="19"/>
              </w:rPr>
              <w:t>最大回撤</w:t>
            </w:r>
          </w:p>
        </w:tc>
        <w:tc>
          <w:tcPr>
            <w:tcW w:w="3173" w:type="dxa"/>
            <w:vAlign w:val="center"/>
          </w:tcPr>
          <w:p w14:paraId="47813325" w14:textId="77777777" w:rsidR="007347C4" w:rsidRDefault="00000000">
            <w:pPr>
              <w:spacing w:after="0"/>
            </w:pPr>
            <w:r>
              <w:rPr>
                <w:sz w:val="19"/>
              </w:rPr>
              <w:t>20、60、120 日</w:t>
            </w:r>
          </w:p>
        </w:tc>
      </w:tr>
      <w:tr w:rsidR="007347C4" w14:paraId="46274EDF" w14:textId="77777777">
        <w:trPr>
          <w:jc w:val="center"/>
        </w:trPr>
        <w:tc>
          <w:tcPr>
            <w:tcW w:w="3173" w:type="dxa"/>
            <w:vAlign w:val="center"/>
          </w:tcPr>
          <w:p w14:paraId="4265FA9A" w14:textId="77777777" w:rsidR="007347C4" w:rsidRDefault="00000000">
            <w:pPr>
              <w:spacing w:after="0"/>
            </w:pPr>
            <w:r>
              <w:rPr>
                <w:sz w:val="19"/>
              </w:rPr>
              <w:t>风险</w:t>
            </w:r>
          </w:p>
        </w:tc>
        <w:tc>
          <w:tcPr>
            <w:tcW w:w="3173" w:type="dxa"/>
            <w:vAlign w:val="center"/>
          </w:tcPr>
          <w:p w14:paraId="5D4BB4B2" w14:textId="77777777" w:rsidR="007347C4" w:rsidRDefault="00000000">
            <w:pPr>
              <w:spacing w:after="0"/>
            </w:pPr>
            <w:r>
              <w:rPr>
                <w:sz w:val="19"/>
              </w:rPr>
              <w:t>风险调整动量</w:t>
            </w:r>
          </w:p>
        </w:tc>
        <w:tc>
          <w:tcPr>
            <w:tcW w:w="3173" w:type="dxa"/>
            <w:vAlign w:val="center"/>
          </w:tcPr>
          <w:p w14:paraId="3C5FE6D5" w14:textId="77777777" w:rsidR="007347C4" w:rsidRDefault="00000000">
            <w:pPr>
              <w:spacing w:after="0"/>
            </w:pPr>
            <w:r>
              <w:rPr>
                <w:sz w:val="19"/>
              </w:rPr>
              <w:t>60、120 日</w:t>
            </w:r>
          </w:p>
        </w:tc>
      </w:tr>
      <w:tr w:rsidR="007347C4" w14:paraId="7B7CDBE2" w14:textId="77777777">
        <w:trPr>
          <w:jc w:val="center"/>
        </w:trPr>
        <w:tc>
          <w:tcPr>
            <w:tcW w:w="3173" w:type="dxa"/>
            <w:vAlign w:val="center"/>
          </w:tcPr>
          <w:p w14:paraId="6D09A484" w14:textId="77777777" w:rsidR="007347C4" w:rsidRDefault="00000000">
            <w:pPr>
              <w:spacing w:after="0"/>
            </w:pPr>
            <w:r>
              <w:rPr>
                <w:sz w:val="19"/>
              </w:rPr>
              <w:t>风险</w:t>
            </w:r>
          </w:p>
        </w:tc>
        <w:tc>
          <w:tcPr>
            <w:tcW w:w="3173" w:type="dxa"/>
            <w:vAlign w:val="center"/>
          </w:tcPr>
          <w:p w14:paraId="25F93E30" w14:textId="77777777" w:rsidR="007347C4" w:rsidRDefault="00000000">
            <w:pPr>
              <w:spacing w:after="0"/>
            </w:pPr>
            <w:r>
              <w:rPr>
                <w:sz w:val="19"/>
              </w:rPr>
              <w:t>ATR 占比</w:t>
            </w:r>
          </w:p>
        </w:tc>
        <w:tc>
          <w:tcPr>
            <w:tcW w:w="3173" w:type="dxa"/>
            <w:vAlign w:val="center"/>
          </w:tcPr>
          <w:p w14:paraId="65D37002" w14:textId="77777777" w:rsidR="007347C4" w:rsidRDefault="00000000">
            <w:pPr>
              <w:spacing w:after="0"/>
            </w:pPr>
            <w:r>
              <w:rPr>
                <w:sz w:val="19"/>
              </w:rPr>
              <w:t>14、20 日</w:t>
            </w:r>
          </w:p>
        </w:tc>
      </w:tr>
      <w:tr w:rsidR="007347C4" w14:paraId="231604F4" w14:textId="77777777">
        <w:trPr>
          <w:jc w:val="center"/>
        </w:trPr>
        <w:tc>
          <w:tcPr>
            <w:tcW w:w="3173" w:type="dxa"/>
            <w:vAlign w:val="center"/>
          </w:tcPr>
          <w:p w14:paraId="000C612B" w14:textId="77777777" w:rsidR="007347C4" w:rsidRDefault="00000000">
            <w:pPr>
              <w:spacing w:after="0"/>
            </w:pPr>
            <w:r>
              <w:rPr>
                <w:sz w:val="19"/>
              </w:rPr>
              <w:t>成交量</w:t>
            </w:r>
          </w:p>
        </w:tc>
        <w:tc>
          <w:tcPr>
            <w:tcW w:w="3173" w:type="dxa"/>
            <w:vAlign w:val="center"/>
          </w:tcPr>
          <w:p w14:paraId="75F87008" w14:textId="77777777" w:rsidR="007347C4" w:rsidRDefault="00000000">
            <w:pPr>
              <w:spacing w:after="0"/>
            </w:pPr>
            <w:r>
              <w:rPr>
                <w:sz w:val="19"/>
              </w:rPr>
              <w:t>成交量趋势</w:t>
            </w:r>
          </w:p>
        </w:tc>
        <w:tc>
          <w:tcPr>
            <w:tcW w:w="3173" w:type="dxa"/>
            <w:vAlign w:val="center"/>
          </w:tcPr>
          <w:p w14:paraId="56EED2B3" w14:textId="77777777" w:rsidR="007347C4" w:rsidRDefault="00000000">
            <w:pPr>
              <w:spacing w:after="0"/>
            </w:pPr>
            <w:r>
              <w:rPr>
                <w:sz w:val="19"/>
              </w:rPr>
              <w:t>20/60 日</w:t>
            </w:r>
          </w:p>
        </w:tc>
      </w:tr>
    </w:tbl>
    <w:p w14:paraId="1EC8DC02" w14:textId="77777777" w:rsidR="007347C4" w:rsidRDefault="00000000">
      <w:pPr>
        <w:pStyle w:val="aff9"/>
        <w:rPr>
          <w:lang w:eastAsia="zh-CN"/>
        </w:rPr>
      </w:pPr>
      <w:r>
        <w:rPr>
          <w:lang w:eastAsia="zh-CN"/>
        </w:rPr>
        <w:t>第一轮只测试预先定义的单因子。不同参数组合视为不同候选信号，不根据第一轮结果自动选择最佳参数。第二轮复合信号使用预先定义的经典组合，不以第一轮赢家作为筛选依据。</w:t>
      </w:r>
    </w:p>
    <w:p w14:paraId="1AAD0AA0" w14:textId="77777777" w:rsidR="007347C4" w:rsidRDefault="00000000">
      <w:pPr>
        <w:pStyle w:val="21"/>
      </w:pPr>
      <w:r>
        <w:t xml:space="preserve">8. </w:t>
      </w:r>
      <w:r>
        <w:t>基准</w:t>
      </w:r>
    </w:p>
    <w:p w14:paraId="7B7D640E" w14:textId="77777777" w:rsidR="007347C4" w:rsidRDefault="00000000">
      <w:r>
        <w:t>核心基准：</w:t>
      </w:r>
    </w:p>
    <w:p w14:paraId="14745550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lastRenderedPageBreak/>
        <w:t>四只 ETF 静态等权组合：IWF、IWD、IWO、IWN 各 25%，按对应测试频率恢复等权。</w:t>
      </w:r>
    </w:p>
    <w:p w14:paraId="4DF9AB03" w14:textId="77777777" w:rsidR="007347C4" w:rsidRDefault="00000000">
      <w:pPr>
        <w:pStyle w:val="a0"/>
        <w:ind w:left="397" w:hanging="142"/>
      </w:pPr>
      <w:r>
        <w:t>SPY 买入并持有。</w:t>
      </w:r>
    </w:p>
    <w:p w14:paraId="7E2280D5" w14:textId="77777777" w:rsidR="007347C4" w:rsidRDefault="00000000">
      <w:r>
        <w:t>诊断参考：</w:t>
      </w:r>
    </w:p>
    <w:p w14:paraId="0CB5570E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IWF、IWD、IWO、IWN 分别买入并持有，用于识别策略是否长期偏向单一赢家。</w:t>
      </w:r>
    </w:p>
    <w:p w14:paraId="23D96850" w14:textId="77777777" w:rsidR="007347C4" w:rsidRDefault="00000000">
      <w:pPr>
        <w:pStyle w:val="21"/>
      </w:pPr>
      <w:r>
        <w:t xml:space="preserve">9. </w:t>
      </w:r>
      <w:r>
        <w:t>评价指标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7347C4" w14:paraId="1EFFE371" w14:textId="77777777">
        <w:trPr>
          <w:jc w:val="center"/>
        </w:trPr>
        <w:tc>
          <w:tcPr>
            <w:tcW w:w="4759" w:type="dxa"/>
            <w:shd w:val="clear" w:color="auto" w:fill="EDEDED"/>
            <w:vAlign w:val="center"/>
          </w:tcPr>
          <w:p w14:paraId="66838FB0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类别</w:t>
            </w:r>
          </w:p>
        </w:tc>
        <w:tc>
          <w:tcPr>
            <w:tcW w:w="4759" w:type="dxa"/>
            <w:shd w:val="clear" w:color="auto" w:fill="EDEDED"/>
            <w:vAlign w:val="center"/>
          </w:tcPr>
          <w:p w14:paraId="602C4FD7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指标</w:t>
            </w:r>
          </w:p>
        </w:tc>
      </w:tr>
      <w:tr w:rsidR="007347C4" w14:paraId="2CD2A6DB" w14:textId="77777777">
        <w:trPr>
          <w:jc w:val="center"/>
        </w:trPr>
        <w:tc>
          <w:tcPr>
            <w:tcW w:w="4759" w:type="dxa"/>
            <w:vAlign w:val="center"/>
          </w:tcPr>
          <w:p w14:paraId="59C534F3" w14:textId="77777777" w:rsidR="007347C4" w:rsidRDefault="00000000">
            <w:pPr>
              <w:spacing w:after="0"/>
            </w:pPr>
            <w:r>
              <w:rPr>
                <w:sz w:val="19"/>
              </w:rPr>
              <w:t>因子预测能力</w:t>
            </w:r>
          </w:p>
        </w:tc>
        <w:tc>
          <w:tcPr>
            <w:tcW w:w="4759" w:type="dxa"/>
            <w:vAlign w:val="center"/>
          </w:tcPr>
          <w:p w14:paraId="7D8D3261" w14:textId="77777777" w:rsidR="007347C4" w:rsidRDefault="00000000">
            <w:pPr>
              <w:spacing w:after="0"/>
            </w:pPr>
            <w:r>
              <w:rPr>
                <w:sz w:val="19"/>
              </w:rPr>
              <w:t>Rank IC 均值；正 IC 比例；Top 2 - Bottom 2 下一持有期收益差</w:t>
            </w:r>
          </w:p>
        </w:tc>
      </w:tr>
      <w:tr w:rsidR="007347C4" w14:paraId="48CFCCA2" w14:textId="77777777">
        <w:trPr>
          <w:jc w:val="center"/>
        </w:trPr>
        <w:tc>
          <w:tcPr>
            <w:tcW w:w="4759" w:type="dxa"/>
            <w:vAlign w:val="center"/>
          </w:tcPr>
          <w:p w14:paraId="2857DD87" w14:textId="77777777" w:rsidR="007347C4" w:rsidRDefault="00000000">
            <w:pPr>
              <w:spacing w:after="0"/>
            </w:pPr>
            <w:r>
              <w:rPr>
                <w:sz w:val="19"/>
              </w:rPr>
              <w:t>收益</w:t>
            </w:r>
          </w:p>
        </w:tc>
        <w:tc>
          <w:tcPr>
            <w:tcW w:w="4759" w:type="dxa"/>
            <w:vAlign w:val="center"/>
          </w:tcPr>
          <w:p w14:paraId="4DDA3FD6" w14:textId="77777777" w:rsidR="007347C4" w:rsidRDefault="00000000">
            <w:pPr>
              <w:spacing w:after="0"/>
            </w:pPr>
            <w:r>
              <w:rPr>
                <w:sz w:val="19"/>
              </w:rPr>
              <w:t>累计收益；CAGR</w:t>
            </w:r>
          </w:p>
        </w:tc>
      </w:tr>
      <w:tr w:rsidR="007347C4" w14:paraId="06AF873E" w14:textId="77777777">
        <w:trPr>
          <w:jc w:val="center"/>
        </w:trPr>
        <w:tc>
          <w:tcPr>
            <w:tcW w:w="4759" w:type="dxa"/>
            <w:vAlign w:val="center"/>
          </w:tcPr>
          <w:p w14:paraId="66EA3F29" w14:textId="77777777" w:rsidR="007347C4" w:rsidRDefault="00000000">
            <w:pPr>
              <w:spacing w:after="0"/>
            </w:pPr>
            <w:r>
              <w:rPr>
                <w:sz w:val="19"/>
              </w:rPr>
              <w:t>风险</w:t>
            </w:r>
          </w:p>
        </w:tc>
        <w:tc>
          <w:tcPr>
            <w:tcW w:w="4759" w:type="dxa"/>
            <w:vAlign w:val="center"/>
          </w:tcPr>
          <w:p w14:paraId="4385FFB4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年化波动率；最大回撤</w:t>
            </w:r>
          </w:p>
        </w:tc>
      </w:tr>
      <w:tr w:rsidR="007347C4" w14:paraId="2F44C0C8" w14:textId="77777777">
        <w:trPr>
          <w:jc w:val="center"/>
        </w:trPr>
        <w:tc>
          <w:tcPr>
            <w:tcW w:w="4759" w:type="dxa"/>
            <w:vAlign w:val="center"/>
          </w:tcPr>
          <w:p w14:paraId="16E409C0" w14:textId="77777777" w:rsidR="007347C4" w:rsidRDefault="00000000">
            <w:pPr>
              <w:spacing w:after="0"/>
            </w:pPr>
            <w:r>
              <w:rPr>
                <w:sz w:val="19"/>
              </w:rPr>
              <w:t>风险调整收益</w:t>
            </w:r>
          </w:p>
        </w:tc>
        <w:tc>
          <w:tcPr>
            <w:tcW w:w="4759" w:type="dxa"/>
            <w:vAlign w:val="center"/>
          </w:tcPr>
          <w:p w14:paraId="4556D561" w14:textId="77777777" w:rsidR="007347C4" w:rsidRDefault="00000000">
            <w:pPr>
              <w:spacing w:after="0"/>
            </w:pPr>
            <w:r>
              <w:rPr>
                <w:sz w:val="19"/>
              </w:rPr>
              <w:t>Sharpe；Sortino；Calmar</w:t>
            </w:r>
          </w:p>
        </w:tc>
      </w:tr>
      <w:tr w:rsidR="007347C4" w14:paraId="7712E724" w14:textId="77777777">
        <w:trPr>
          <w:jc w:val="center"/>
        </w:trPr>
        <w:tc>
          <w:tcPr>
            <w:tcW w:w="4759" w:type="dxa"/>
            <w:vAlign w:val="center"/>
          </w:tcPr>
          <w:p w14:paraId="7BA48AA0" w14:textId="77777777" w:rsidR="007347C4" w:rsidRDefault="00000000">
            <w:pPr>
              <w:spacing w:after="0"/>
            </w:pPr>
            <w:r>
              <w:rPr>
                <w:sz w:val="19"/>
              </w:rPr>
              <w:t>相对基准</w:t>
            </w:r>
          </w:p>
        </w:tc>
        <w:tc>
          <w:tcPr>
            <w:tcW w:w="4759" w:type="dxa"/>
            <w:vAlign w:val="center"/>
          </w:tcPr>
          <w:p w14:paraId="72671163" w14:textId="77777777" w:rsidR="007347C4" w:rsidRDefault="00000000">
            <w:pPr>
              <w:spacing w:after="0"/>
            </w:pPr>
            <w:r>
              <w:rPr>
                <w:sz w:val="19"/>
              </w:rPr>
              <w:t>超额收益；Tracking Error；Information Ratio</w:t>
            </w:r>
          </w:p>
        </w:tc>
      </w:tr>
      <w:tr w:rsidR="007347C4" w14:paraId="4143015E" w14:textId="77777777">
        <w:trPr>
          <w:jc w:val="center"/>
        </w:trPr>
        <w:tc>
          <w:tcPr>
            <w:tcW w:w="4759" w:type="dxa"/>
            <w:vAlign w:val="center"/>
          </w:tcPr>
          <w:p w14:paraId="2B3A4ABD" w14:textId="77777777" w:rsidR="007347C4" w:rsidRDefault="00000000">
            <w:pPr>
              <w:spacing w:after="0"/>
            </w:pPr>
            <w:r>
              <w:rPr>
                <w:sz w:val="19"/>
              </w:rPr>
              <w:t>交易行为</w:t>
            </w:r>
          </w:p>
        </w:tc>
        <w:tc>
          <w:tcPr>
            <w:tcW w:w="4759" w:type="dxa"/>
            <w:vAlign w:val="center"/>
          </w:tcPr>
          <w:p w14:paraId="7651F578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年化换手率；累计交易成本；平均储备仓位（模板 B）</w:t>
            </w:r>
          </w:p>
        </w:tc>
      </w:tr>
    </w:tbl>
    <w:p w14:paraId="429847E4" w14:textId="77777777" w:rsidR="007347C4" w:rsidRDefault="00000000">
      <w:pPr>
        <w:pStyle w:val="21"/>
      </w:pPr>
      <w:r>
        <w:t xml:space="preserve">10. </w:t>
      </w:r>
      <w:r>
        <w:t>回测协议与稳健性测试</w:t>
      </w:r>
    </w:p>
    <w:p w14:paraId="670AE060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所有因子、参数、调仓频率、交易成本、策略模板和回测区间在运行前固定。</w:t>
      </w:r>
    </w:p>
    <w:p w14:paraId="274EA7F5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不同参数组合分别作为独立候选信号运行，不在同一次回测中自动择优。</w:t>
      </w:r>
    </w:p>
    <w:p w14:paraId="0F8E16C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所有候选信号使用统一正式回测起点，以确保结果可比。</w:t>
      </w:r>
    </w:p>
    <w:p w14:paraId="590BBF28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系统支持从指定最近年份开始滚动回测；起止日期作为 run 配置保存。</w:t>
      </w:r>
    </w:p>
    <w:p w14:paraId="32B14197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周频与月频分别运行并报告，不在运行后以最佳结果替代原计划。</w:t>
      </w:r>
    </w:p>
    <w:p w14:paraId="552E1273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2 / 5 / 10 bps 成本场景分别保留。</w:t>
      </w:r>
    </w:p>
    <w:p w14:paraId="6386A263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纯横截面与绝对过滤模板分别保留。</w:t>
      </w:r>
    </w:p>
    <w:p w14:paraId="3F109D49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可按不同市场阶段切片展示结果，但市场阶段划分仅用于解释，不用于事后调参。</w:t>
      </w:r>
    </w:p>
    <w:p w14:paraId="7B6ED3E1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任何规则或参数修改均生成新版本和新运行记录，不覆盖历史结果。</w:t>
      </w:r>
    </w:p>
    <w:p w14:paraId="65C36130" w14:textId="77777777" w:rsidR="007347C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374516C" w14:textId="77777777" w:rsidR="007347C4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第二部分</w:t>
      </w:r>
      <w:r>
        <w:rPr>
          <w:lang w:eastAsia="zh-CN"/>
        </w:rPr>
        <w:t xml:space="preserve"> </w:t>
      </w:r>
      <w:r>
        <w:rPr>
          <w:lang w:eastAsia="zh-CN"/>
        </w:rPr>
        <w:t>系统设计方案</w:t>
      </w:r>
    </w:p>
    <w:p w14:paraId="70644DAF" w14:textId="77777777" w:rsidR="007347C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11. </w:t>
      </w:r>
      <w:r>
        <w:rPr>
          <w:lang w:eastAsia="zh-CN"/>
        </w:rPr>
        <w:t>系统定位与设计原则</w:t>
      </w:r>
    </w:p>
    <w:p w14:paraId="53052E48" w14:textId="77777777" w:rsidR="007347C4" w:rsidRDefault="00000000">
      <w:pPr>
        <w:pStyle w:val="a0"/>
        <w:ind w:left="397" w:hanging="142"/>
      </w:pPr>
      <w:r>
        <w:t>系统是一台确定性的因子计算与回测机器，不在核心计算链路中使用 Agent 或 LLM。</w:t>
      </w:r>
    </w:p>
    <w:p w14:paraId="08CD55CE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Python 负责数据清洗、因子计算、组合生成、回测和绩效计算。</w:t>
      </w:r>
    </w:p>
    <w:p w14:paraId="4861648D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数据库负责分层存储、版本追踪、结果复现和前端查询。</w:t>
      </w:r>
    </w:p>
    <w:p w14:paraId="5B5B4F36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前端只读取已计算结果，不在浏览器端执行正式回测。</w:t>
      </w:r>
    </w:p>
    <w:p w14:paraId="58FAAA39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LLM 未来仅可用于研究辅助、异常解释或文档生成，不参与正式仓位决策。</w:t>
      </w:r>
    </w:p>
    <w:p w14:paraId="23614438" w14:textId="77777777" w:rsidR="007347C4" w:rsidRDefault="00000000">
      <w:pPr>
        <w:pStyle w:val="21"/>
      </w:pPr>
      <w:r>
        <w:t xml:space="preserve">12. </w:t>
      </w:r>
      <w:r>
        <w:t>总体架构</w:t>
      </w:r>
    </w:p>
    <w:p w14:paraId="6582E751" w14:textId="77777777" w:rsidR="007347C4" w:rsidRDefault="00000000">
      <w:pPr>
        <w:pStyle w:val="a"/>
      </w:pPr>
      <w:r>
        <w:t>数据接入层：下载 yfinance 与 FRED 数据，并保存原始版本。</w:t>
      </w:r>
    </w:p>
    <w:p w14:paraId="69F0F97F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数据清洗与质量检查层：检查缺失、重复、异常值、日期和复权口径。</w:t>
      </w:r>
    </w:p>
    <w:p w14:paraId="5CA06CA1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因子注册与计算层：根据因子注册表批量计算各资产各日期的因子值。</w:t>
      </w:r>
    </w:p>
    <w:p w14:paraId="1174411F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信号与组合生成层：完成方向统一、横截面排序、趋势过滤和目标权重生成。</w:t>
      </w:r>
    </w:p>
    <w:p w14:paraId="33F2F391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回测执行层：按下一交易日开盘价模拟交易，计算换手、成本、仓位和每日净值。</w:t>
      </w:r>
    </w:p>
    <w:p w14:paraId="0A76C916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绩效指标层：计算因子预测指标、收益、风险、相对基准和交易行为指标。</w:t>
      </w:r>
    </w:p>
    <w:p w14:paraId="0A0D0871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API 与前端层：展示排行榜、因子详情、回测对比和系统状态。</w:t>
      </w:r>
    </w:p>
    <w:p w14:paraId="31099A6A" w14:textId="77777777" w:rsidR="007347C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13. </w:t>
      </w:r>
      <w:r>
        <w:rPr>
          <w:lang w:eastAsia="zh-CN"/>
        </w:rPr>
        <w:t>数据分层与核心数据对象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7347C4" w14:paraId="396D1224" w14:textId="77777777">
        <w:trPr>
          <w:jc w:val="center"/>
        </w:trPr>
        <w:tc>
          <w:tcPr>
            <w:tcW w:w="3173" w:type="dxa"/>
            <w:shd w:val="clear" w:color="auto" w:fill="EDEDED"/>
            <w:vAlign w:val="center"/>
          </w:tcPr>
          <w:p w14:paraId="5875934C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数据层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31A0ACB1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建议表名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7C0DD338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主要用途</w:t>
            </w:r>
          </w:p>
        </w:tc>
      </w:tr>
      <w:tr w:rsidR="007347C4" w14:paraId="041668AC" w14:textId="77777777">
        <w:trPr>
          <w:jc w:val="center"/>
        </w:trPr>
        <w:tc>
          <w:tcPr>
            <w:tcW w:w="3173" w:type="dxa"/>
            <w:vAlign w:val="center"/>
          </w:tcPr>
          <w:p w14:paraId="285DC03A" w14:textId="77777777" w:rsidR="007347C4" w:rsidRDefault="00000000">
            <w:pPr>
              <w:spacing w:after="0"/>
            </w:pPr>
            <w:r>
              <w:rPr>
                <w:sz w:val="19"/>
              </w:rPr>
              <w:t>原始行情数据</w:t>
            </w:r>
          </w:p>
        </w:tc>
        <w:tc>
          <w:tcPr>
            <w:tcW w:w="3173" w:type="dxa"/>
            <w:vAlign w:val="center"/>
          </w:tcPr>
          <w:p w14:paraId="2FA4400C" w14:textId="77777777" w:rsidR="007347C4" w:rsidRDefault="00000000">
            <w:pPr>
              <w:spacing w:after="0"/>
            </w:pPr>
            <w:r>
              <w:rPr>
                <w:sz w:val="19"/>
              </w:rPr>
              <w:t>raw_market_prices</w:t>
            </w:r>
          </w:p>
        </w:tc>
        <w:tc>
          <w:tcPr>
            <w:tcW w:w="3173" w:type="dxa"/>
            <w:vAlign w:val="center"/>
          </w:tcPr>
          <w:p w14:paraId="4B39D111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保存未经业务清洗的下载结果、来源、下载时间和数据版本</w:t>
            </w:r>
          </w:p>
        </w:tc>
      </w:tr>
      <w:tr w:rsidR="007347C4" w14:paraId="3007D29B" w14:textId="77777777">
        <w:trPr>
          <w:jc w:val="center"/>
        </w:trPr>
        <w:tc>
          <w:tcPr>
            <w:tcW w:w="3173" w:type="dxa"/>
            <w:vAlign w:val="center"/>
          </w:tcPr>
          <w:p w14:paraId="6ABA4CBF" w14:textId="77777777" w:rsidR="007347C4" w:rsidRDefault="00000000">
            <w:pPr>
              <w:spacing w:after="0"/>
            </w:pPr>
            <w:r>
              <w:rPr>
                <w:sz w:val="19"/>
              </w:rPr>
              <w:t>清洗行情数据</w:t>
            </w:r>
          </w:p>
        </w:tc>
        <w:tc>
          <w:tcPr>
            <w:tcW w:w="3173" w:type="dxa"/>
            <w:vAlign w:val="center"/>
          </w:tcPr>
          <w:p w14:paraId="081F396B" w14:textId="77777777" w:rsidR="007347C4" w:rsidRDefault="00000000">
            <w:pPr>
              <w:spacing w:after="0"/>
            </w:pPr>
            <w:r>
              <w:rPr>
                <w:sz w:val="19"/>
              </w:rPr>
              <w:t>clean_market_prices</w:t>
            </w:r>
          </w:p>
        </w:tc>
        <w:tc>
          <w:tcPr>
            <w:tcW w:w="3173" w:type="dxa"/>
            <w:vAlign w:val="center"/>
          </w:tcPr>
          <w:p w14:paraId="30EA8547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保存通过质量检查后的统一复权行情</w:t>
            </w:r>
          </w:p>
        </w:tc>
      </w:tr>
      <w:tr w:rsidR="007347C4" w14:paraId="2F63C597" w14:textId="77777777">
        <w:trPr>
          <w:jc w:val="center"/>
        </w:trPr>
        <w:tc>
          <w:tcPr>
            <w:tcW w:w="3173" w:type="dxa"/>
            <w:vAlign w:val="center"/>
          </w:tcPr>
          <w:p w14:paraId="372747AC" w14:textId="77777777" w:rsidR="007347C4" w:rsidRDefault="00000000">
            <w:pPr>
              <w:spacing w:after="0"/>
            </w:pPr>
            <w:r>
              <w:rPr>
                <w:sz w:val="19"/>
              </w:rPr>
              <w:t>储备收益数据</w:t>
            </w:r>
          </w:p>
        </w:tc>
        <w:tc>
          <w:tcPr>
            <w:tcW w:w="3173" w:type="dxa"/>
            <w:vAlign w:val="center"/>
          </w:tcPr>
          <w:p w14:paraId="78F55045" w14:textId="77777777" w:rsidR="007347C4" w:rsidRDefault="00000000">
            <w:pPr>
              <w:spacing w:after="0"/>
            </w:pPr>
            <w:r>
              <w:rPr>
                <w:sz w:val="19"/>
              </w:rPr>
              <w:t>reserve_rates</w:t>
            </w:r>
          </w:p>
        </w:tc>
        <w:tc>
          <w:tcPr>
            <w:tcW w:w="3173" w:type="dxa"/>
            <w:vAlign w:val="center"/>
          </w:tcPr>
          <w:p w14:paraId="76156F82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 DGS3MO 及日收益转换结果</w:t>
            </w:r>
          </w:p>
        </w:tc>
      </w:tr>
      <w:tr w:rsidR="007347C4" w14:paraId="42C7232A" w14:textId="77777777">
        <w:trPr>
          <w:jc w:val="center"/>
        </w:trPr>
        <w:tc>
          <w:tcPr>
            <w:tcW w:w="3173" w:type="dxa"/>
            <w:vAlign w:val="center"/>
          </w:tcPr>
          <w:p w14:paraId="219FF2F8" w14:textId="77777777" w:rsidR="007347C4" w:rsidRDefault="00000000">
            <w:pPr>
              <w:spacing w:after="0"/>
            </w:pPr>
            <w:r>
              <w:rPr>
                <w:sz w:val="19"/>
              </w:rPr>
              <w:t>因子注册表</w:t>
            </w:r>
          </w:p>
        </w:tc>
        <w:tc>
          <w:tcPr>
            <w:tcW w:w="3173" w:type="dxa"/>
            <w:vAlign w:val="center"/>
          </w:tcPr>
          <w:p w14:paraId="1038E804" w14:textId="77777777" w:rsidR="007347C4" w:rsidRDefault="00000000">
            <w:pPr>
              <w:spacing w:after="0"/>
            </w:pPr>
            <w:r>
              <w:rPr>
                <w:sz w:val="19"/>
              </w:rPr>
              <w:t>factor_registry</w:t>
            </w:r>
          </w:p>
        </w:tc>
        <w:tc>
          <w:tcPr>
            <w:tcW w:w="3173" w:type="dxa"/>
            <w:vAlign w:val="center"/>
          </w:tcPr>
          <w:p w14:paraId="7229A5B6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保存因子定义、参数、方向、暖机期和版本</w:t>
            </w:r>
          </w:p>
        </w:tc>
      </w:tr>
      <w:tr w:rsidR="007347C4" w14:paraId="1F168888" w14:textId="77777777">
        <w:trPr>
          <w:jc w:val="center"/>
        </w:trPr>
        <w:tc>
          <w:tcPr>
            <w:tcW w:w="3173" w:type="dxa"/>
            <w:vAlign w:val="center"/>
          </w:tcPr>
          <w:p w14:paraId="6C9CD966" w14:textId="77777777" w:rsidR="007347C4" w:rsidRDefault="00000000">
            <w:pPr>
              <w:spacing w:after="0"/>
            </w:pPr>
            <w:r>
              <w:rPr>
                <w:sz w:val="19"/>
              </w:rPr>
              <w:t>因子值</w:t>
            </w:r>
          </w:p>
        </w:tc>
        <w:tc>
          <w:tcPr>
            <w:tcW w:w="3173" w:type="dxa"/>
            <w:vAlign w:val="center"/>
          </w:tcPr>
          <w:p w14:paraId="584D0169" w14:textId="77777777" w:rsidR="007347C4" w:rsidRDefault="00000000">
            <w:pPr>
              <w:spacing w:after="0"/>
            </w:pPr>
            <w:r>
              <w:rPr>
                <w:sz w:val="19"/>
              </w:rPr>
              <w:t>factor_values</w:t>
            </w:r>
          </w:p>
        </w:tc>
        <w:tc>
          <w:tcPr>
            <w:tcW w:w="3173" w:type="dxa"/>
            <w:vAlign w:val="center"/>
          </w:tcPr>
          <w:p w14:paraId="1D3BED97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保存每个因子、资产和信号日期的</w:t>
            </w:r>
            <w:r>
              <w:rPr>
                <w:sz w:val="19"/>
                <w:lang w:eastAsia="zh-CN"/>
              </w:rPr>
              <w:lastRenderedPageBreak/>
              <w:t>数值</w:t>
            </w:r>
          </w:p>
        </w:tc>
      </w:tr>
      <w:tr w:rsidR="007347C4" w14:paraId="3AD2270A" w14:textId="77777777">
        <w:trPr>
          <w:jc w:val="center"/>
        </w:trPr>
        <w:tc>
          <w:tcPr>
            <w:tcW w:w="3173" w:type="dxa"/>
            <w:vAlign w:val="center"/>
          </w:tcPr>
          <w:p w14:paraId="3E80989B" w14:textId="77777777" w:rsidR="007347C4" w:rsidRDefault="00000000">
            <w:pPr>
              <w:spacing w:after="0"/>
            </w:pPr>
            <w:r>
              <w:rPr>
                <w:sz w:val="19"/>
              </w:rPr>
              <w:lastRenderedPageBreak/>
              <w:t>回测运行</w:t>
            </w:r>
          </w:p>
        </w:tc>
        <w:tc>
          <w:tcPr>
            <w:tcW w:w="3173" w:type="dxa"/>
            <w:vAlign w:val="center"/>
          </w:tcPr>
          <w:p w14:paraId="666B4BEC" w14:textId="77777777" w:rsidR="007347C4" w:rsidRDefault="00000000">
            <w:pPr>
              <w:spacing w:after="0"/>
            </w:pPr>
            <w:r>
              <w:rPr>
                <w:sz w:val="19"/>
              </w:rPr>
              <w:t>backtest_runs</w:t>
            </w:r>
          </w:p>
        </w:tc>
        <w:tc>
          <w:tcPr>
            <w:tcW w:w="3173" w:type="dxa"/>
            <w:vAlign w:val="center"/>
          </w:tcPr>
          <w:p w14:paraId="3D4C7FDD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保存每次运行的全部配置和版本信息</w:t>
            </w:r>
          </w:p>
        </w:tc>
      </w:tr>
      <w:tr w:rsidR="007347C4" w14:paraId="40AC1791" w14:textId="77777777">
        <w:trPr>
          <w:jc w:val="center"/>
        </w:trPr>
        <w:tc>
          <w:tcPr>
            <w:tcW w:w="3173" w:type="dxa"/>
            <w:vAlign w:val="center"/>
          </w:tcPr>
          <w:p w14:paraId="2B3077BC" w14:textId="77777777" w:rsidR="007347C4" w:rsidRDefault="00000000">
            <w:pPr>
              <w:spacing w:after="0"/>
            </w:pPr>
            <w:r>
              <w:rPr>
                <w:sz w:val="19"/>
              </w:rPr>
              <w:t>目标仓位</w:t>
            </w:r>
          </w:p>
        </w:tc>
        <w:tc>
          <w:tcPr>
            <w:tcW w:w="3173" w:type="dxa"/>
            <w:vAlign w:val="center"/>
          </w:tcPr>
          <w:p w14:paraId="7D6E3D9C" w14:textId="77777777" w:rsidR="007347C4" w:rsidRDefault="00000000">
            <w:pPr>
              <w:spacing w:after="0"/>
            </w:pPr>
            <w:r>
              <w:rPr>
                <w:sz w:val="19"/>
              </w:rPr>
              <w:t>target_positions</w:t>
            </w:r>
          </w:p>
        </w:tc>
        <w:tc>
          <w:tcPr>
            <w:tcW w:w="3173" w:type="dxa"/>
            <w:vAlign w:val="center"/>
          </w:tcPr>
          <w:p w14:paraId="093E9378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保存信号日期、执行日期、排名、过滤状态和目标权重</w:t>
            </w:r>
          </w:p>
        </w:tc>
      </w:tr>
      <w:tr w:rsidR="007347C4" w14:paraId="298464C6" w14:textId="77777777">
        <w:trPr>
          <w:jc w:val="center"/>
        </w:trPr>
        <w:tc>
          <w:tcPr>
            <w:tcW w:w="3173" w:type="dxa"/>
            <w:vAlign w:val="center"/>
          </w:tcPr>
          <w:p w14:paraId="2510FFA0" w14:textId="77777777" w:rsidR="007347C4" w:rsidRDefault="00000000">
            <w:pPr>
              <w:spacing w:after="0"/>
            </w:pPr>
            <w:r>
              <w:rPr>
                <w:sz w:val="19"/>
              </w:rPr>
              <w:t>交易记录</w:t>
            </w:r>
          </w:p>
        </w:tc>
        <w:tc>
          <w:tcPr>
            <w:tcW w:w="3173" w:type="dxa"/>
            <w:vAlign w:val="center"/>
          </w:tcPr>
          <w:p w14:paraId="182B70D3" w14:textId="77777777" w:rsidR="007347C4" w:rsidRDefault="00000000">
            <w:pPr>
              <w:spacing w:after="0"/>
            </w:pPr>
            <w:r>
              <w:rPr>
                <w:sz w:val="19"/>
              </w:rPr>
              <w:t>trade_history</w:t>
            </w:r>
          </w:p>
        </w:tc>
        <w:tc>
          <w:tcPr>
            <w:tcW w:w="3173" w:type="dxa"/>
            <w:vAlign w:val="center"/>
          </w:tcPr>
          <w:p w14:paraId="5593FE02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保存买卖、成交价格、权重变化、换手和成本</w:t>
            </w:r>
          </w:p>
        </w:tc>
      </w:tr>
      <w:tr w:rsidR="007347C4" w14:paraId="0E67C9B4" w14:textId="77777777">
        <w:trPr>
          <w:jc w:val="center"/>
        </w:trPr>
        <w:tc>
          <w:tcPr>
            <w:tcW w:w="3173" w:type="dxa"/>
            <w:vAlign w:val="center"/>
          </w:tcPr>
          <w:p w14:paraId="571AD5CC" w14:textId="77777777" w:rsidR="007347C4" w:rsidRDefault="00000000">
            <w:pPr>
              <w:spacing w:after="0"/>
            </w:pPr>
            <w:r>
              <w:rPr>
                <w:sz w:val="19"/>
              </w:rPr>
              <w:t>仓位历史</w:t>
            </w:r>
          </w:p>
        </w:tc>
        <w:tc>
          <w:tcPr>
            <w:tcW w:w="3173" w:type="dxa"/>
            <w:vAlign w:val="center"/>
          </w:tcPr>
          <w:p w14:paraId="3B88D318" w14:textId="77777777" w:rsidR="007347C4" w:rsidRDefault="00000000">
            <w:pPr>
              <w:spacing w:after="0"/>
            </w:pPr>
            <w:r>
              <w:rPr>
                <w:sz w:val="19"/>
              </w:rPr>
              <w:t>position_history</w:t>
            </w:r>
          </w:p>
        </w:tc>
        <w:tc>
          <w:tcPr>
            <w:tcW w:w="3173" w:type="dxa"/>
            <w:vAlign w:val="center"/>
          </w:tcPr>
          <w:p w14:paraId="0B170D59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保存每日或调仓后的实际组合权重</w:t>
            </w:r>
          </w:p>
        </w:tc>
      </w:tr>
      <w:tr w:rsidR="007347C4" w14:paraId="2D9908A5" w14:textId="77777777">
        <w:trPr>
          <w:jc w:val="center"/>
        </w:trPr>
        <w:tc>
          <w:tcPr>
            <w:tcW w:w="3173" w:type="dxa"/>
            <w:vAlign w:val="center"/>
          </w:tcPr>
          <w:p w14:paraId="3EB1C4F9" w14:textId="77777777" w:rsidR="007347C4" w:rsidRDefault="00000000">
            <w:pPr>
              <w:spacing w:after="0"/>
            </w:pPr>
            <w:r>
              <w:rPr>
                <w:sz w:val="19"/>
              </w:rPr>
              <w:t>每日净值</w:t>
            </w:r>
          </w:p>
        </w:tc>
        <w:tc>
          <w:tcPr>
            <w:tcW w:w="3173" w:type="dxa"/>
            <w:vAlign w:val="center"/>
          </w:tcPr>
          <w:p w14:paraId="44DE6258" w14:textId="77777777" w:rsidR="007347C4" w:rsidRDefault="00000000">
            <w:pPr>
              <w:spacing w:after="0"/>
            </w:pPr>
            <w:r>
              <w:rPr>
                <w:sz w:val="19"/>
              </w:rPr>
              <w:t>daily_nav</w:t>
            </w:r>
          </w:p>
        </w:tc>
        <w:tc>
          <w:tcPr>
            <w:tcW w:w="3173" w:type="dxa"/>
            <w:vAlign w:val="center"/>
          </w:tcPr>
          <w:p w14:paraId="226F944D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保存成本前后收益、净值和基准净值</w:t>
            </w:r>
          </w:p>
        </w:tc>
      </w:tr>
      <w:tr w:rsidR="007347C4" w14:paraId="16048603" w14:textId="77777777">
        <w:trPr>
          <w:jc w:val="center"/>
        </w:trPr>
        <w:tc>
          <w:tcPr>
            <w:tcW w:w="3173" w:type="dxa"/>
            <w:vAlign w:val="center"/>
          </w:tcPr>
          <w:p w14:paraId="62ED5E08" w14:textId="77777777" w:rsidR="007347C4" w:rsidRDefault="00000000">
            <w:pPr>
              <w:spacing w:after="0"/>
            </w:pPr>
            <w:r>
              <w:rPr>
                <w:sz w:val="19"/>
              </w:rPr>
              <w:t>绩效结果</w:t>
            </w:r>
          </w:p>
        </w:tc>
        <w:tc>
          <w:tcPr>
            <w:tcW w:w="3173" w:type="dxa"/>
            <w:vAlign w:val="center"/>
          </w:tcPr>
          <w:p w14:paraId="473D4CAC" w14:textId="77777777" w:rsidR="007347C4" w:rsidRDefault="00000000">
            <w:pPr>
              <w:spacing w:after="0"/>
            </w:pPr>
            <w:r>
              <w:rPr>
                <w:sz w:val="19"/>
              </w:rPr>
              <w:t>performance_metrics</w:t>
            </w:r>
          </w:p>
        </w:tc>
        <w:tc>
          <w:tcPr>
            <w:tcW w:w="3173" w:type="dxa"/>
            <w:vAlign w:val="center"/>
          </w:tcPr>
          <w:p w14:paraId="15B32E51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保存每次运行的全部回测指标</w:t>
            </w:r>
          </w:p>
        </w:tc>
      </w:tr>
      <w:tr w:rsidR="007347C4" w14:paraId="454EE257" w14:textId="77777777">
        <w:trPr>
          <w:jc w:val="center"/>
        </w:trPr>
        <w:tc>
          <w:tcPr>
            <w:tcW w:w="3173" w:type="dxa"/>
            <w:vAlign w:val="center"/>
          </w:tcPr>
          <w:p w14:paraId="4695D77D" w14:textId="77777777" w:rsidR="007347C4" w:rsidRDefault="00000000">
            <w:pPr>
              <w:spacing w:after="0"/>
            </w:pPr>
            <w:r>
              <w:rPr>
                <w:sz w:val="19"/>
              </w:rPr>
              <w:t>数据质量日志</w:t>
            </w:r>
          </w:p>
        </w:tc>
        <w:tc>
          <w:tcPr>
            <w:tcW w:w="3173" w:type="dxa"/>
            <w:vAlign w:val="center"/>
          </w:tcPr>
          <w:p w14:paraId="7D78AB4D" w14:textId="77777777" w:rsidR="007347C4" w:rsidRDefault="00000000">
            <w:pPr>
              <w:spacing w:after="0"/>
            </w:pPr>
            <w:r>
              <w:rPr>
                <w:sz w:val="19"/>
              </w:rPr>
              <w:t>data_quality_logs</w:t>
            </w:r>
          </w:p>
        </w:tc>
        <w:tc>
          <w:tcPr>
            <w:tcW w:w="3173" w:type="dxa"/>
            <w:vAlign w:val="center"/>
          </w:tcPr>
          <w:p w14:paraId="1950A176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保存缺失、重复、异常及清洗处理记录</w:t>
            </w:r>
          </w:p>
        </w:tc>
      </w:tr>
    </w:tbl>
    <w:p w14:paraId="7E4DFF77" w14:textId="77777777" w:rsidR="007347C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14. </w:t>
      </w:r>
      <w:r>
        <w:rPr>
          <w:lang w:eastAsia="zh-CN"/>
        </w:rPr>
        <w:t>模块设计</w:t>
      </w:r>
    </w:p>
    <w:p w14:paraId="114E6C99" w14:textId="77777777" w:rsidR="007347C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14.1 </w:t>
      </w:r>
      <w:r>
        <w:rPr>
          <w:lang w:eastAsia="zh-CN"/>
        </w:rPr>
        <w:t>数据接入与清洗模块</w:t>
      </w:r>
    </w:p>
    <w:p w14:paraId="08A8E08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支持全量下载与增量更新。</w:t>
      </w:r>
    </w:p>
    <w:p w14:paraId="51B9942C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原始数据先入库，再执行清洗和质量检查。</w:t>
      </w:r>
    </w:p>
    <w:p w14:paraId="5776379F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检查重复日期、缺失值、OHLC 逻辑、负价格、负成交量和异常跳变。</w:t>
      </w:r>
    </w:p>
    <w:p w14:paraId="6D40AE38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记录数据来源、下载参数、数据版本和清洗版本。</w:t>
      </w:r>
    </w:p>
    <w:p w14:paraId="656883EA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禁止使用未来数据回填历史缺口。</w:t>
      </w:r>
    </w:p>
    <w:p w14:paraId="7599A5A9" w14:textId="77777777" w:rsidR="007347C4" w:rsidRDefault="00000000">
      <w:pPr>
        <w:pStyle w:val="31"/>
      </w:pPr>
      <w:r>
        <w:t xml:space="preserve">14.2 </w:t>
      </w:r>
      <w:r>
        <w:t>因子注册与计算模块</w:t>
      </w:r>
    </w:p>
    <w:p w14:paraId="227535B0" w14:textId="77777777" w:rsidR="007347C4" w:rsidRDefault="00000000">
      <w:pPr>
        <w:pStyle w:val="a0"/>
        <w:ind w:left="397" w:hanging="142"/>
      </w:pPr>
      <w:r>
        <w:t>每个参数组合拥有唯一 factor_id，例如 momentum_20、momentum_60。</w:t>
      </w:r>
    </w:p>
    <w:p w14:paraId="05996CFE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注册信息包括因子家族、公式说明、必需字段、参数、方向、暖机期和版本。</w:t>
      </w:r>
    </w:p>
    <w:p w14:paraId="69F70DC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计算模块只生成因子值，不负责排名、仓位和绩效计算。</w:t>
      </w:r>
    </w:p>
    <w:p w14:paraId="45D7C23D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新增因子时只需注册配置并实现统一接口，不修改回测主流程。</w:t>
      </w:r>
    </w:p>
    <w:p w14:paraId="0143742F" w14:textId="77777777" w:rsidR="007347C4" w:rsidRDefault="00000000">
      <w:pPr>
        <w:pStyle w:val="31"/>
      </w:pPr>
      <w:r>
        <w:lastRenderedPageBreak/>
        <w:t xml:space="preserve">14.3 </w:t>
      </w:r>
      <w:r>
        <w:t>信号与组合模块</w:t>
      </w:r>
    </w:p>
    <w:p w14:paraId="13CCD045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识别周频与月频信号日期和执行日期。</w:t>
      </w:r>
    </w:p>
    <w:p w14:paraId="335EAC74" w14:textId="77777777" w:rsidR="007347C4" w:rsidRDefault="00000000">
      <w:pPr>
        <w:pStyle w:val="a0"/>
        <w:ind w:left="397" w:hanging="142"/>
      </w:pPr>
      <w:r>
        <w:t>统一处理 higher_is_better 与 lower_is_better 的因子方向。</w:t>
      </w:r>
    </w:p>
    <w:p w14:paraId="520AA4C3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执行横截面排名、Top 2 选择、200 日均线过滤和储备仓位分配。</w:t>
      </w:r>
    </w:p>
    <w:p w14:paraId="7D5F9B06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输出目标仓位，不负责模拟成交和计算收益。</w:t>
      </w:r>
    </w:p>
    <w:p w14:paraId="57CB36F4" w14:textId="77777777" w:rsidR="007347C4" w:rsidRDefault="00000000">
      <w:pPr>
        <w:pStyle w:val="31"/>
      </w:pPr>
      <w:r>
        <w:t xml:space="preserve">14.4 </w:t>
      </w:r>
      <w:r>
        <w:t>回测执行模块</w:t>
      </w:r>
    </w:p>
    <w:p w14:paraId="2A081F8F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使用信号日期后的下一实际交易日开盘价执行。</w:t>
      </w:r>
    </w:p>
    <w:p w14:paraId="14AF8087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支持分数份额，不考虑做空和融资。</w:t>
      </w:r>
    </w:p>
    <w:p w14:paraId="2BE26AC6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根据交易前实际权重与目标权重计算换手和交易成本。</w:t>
      </w:r>
    </w:p>
    <w:p w14:paraId="2826FC75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逐日更新仓位、收益和净值，并记录交易明细。</w:t>
      </w:r>
    </w:p>
    <w:p w14:paraId="7AAFD5C3" w14:textId="77777777" w:rsidR="007347C4" w:rsidRDefault="00000000">
      <w:pPr>
        <w:pStyle w:val="31"/>
      </w:pPr>
      <w:r>
        <w:t xml:space="preserve">14.5 </w:t>
      </w:r>
      <w:r>
        <w:t>绩效指标模块</w:t>
      </w:r>
    </w:p>
    <w:p w14:paraId="46A8A20F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统一计算研究设计第 9 节所列指标。</w:t>
      </w:r>
    </w:p>
    <w:p w14:paraId="4E5DFBFB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同时生成策略、四 ETF 等权和 SPY 的可比较净值序列。</w:t>
      </w:r>
    </w:p>
    <w:p w14:paraId="0698A08F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所有指标均明确频率、年化方法、无风险收益和成本口径。</w:t>
      </w:r>
    </w:p>
    <w:p w14:paraId="28542F4B" w14:textId="77777777" w:rsidR="007347C4" w:rsidRDefault="00000000">
      <w:pPr>
        <w:pStyle w:val="31"/>
      </w:pPr>
      <w:r>
        <w:t xml:space="preserve">14.6 API </w:t>
      </w:r>
      <w:r>
        <w:t>与前端模块</w:t>
      </w:r>
    </w:p>
    <w:p w14:paraId="40A72391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首页展示数据更新时间、系统版本、最近运行状态和因子排行榜。</w:t>
      </w:r>
    </w:p>
    <w:p w14:paraId="670C4AEA" w14:textId="77777777" w:rsidR="007347C4" w:rsidRDefault="00000000">
      <w:pPr>
        <w:pStyle w:val="a0"/>
        <w:ind w:left="397" w:hanging="142"/>
      </w:pPr>
      <w:r>
        <w:t>支持按 CAGR、Sharpe、最大回撤、Rank IC、超额收益和换手率排序。</w:t>
      </w:r>
    </w:p>
    <w:p w14:paraId="5DA2D9A8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因子详情页展示定义、参数、净值、回撤、仓位、Rank IC、成本和基准对比。</w:t>
      </w:r>
    </w:p>
    <w:p w14:paraId="4B84FC64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对比页支持同因子不同参数、频率、策略模板和成本场景并排比较。</w:t>
      </w:r>
    </w:p>
    <w:p w14:paraId="47D3538E" w14:textId="77777777" w:rsidR="007347C4" w:rsidRDefault="00000000">
      <w:pPr>
        <w:pStyle w:val="21"/>
      </w:pPr>
      <w:r>
        <w:t xml:space="preserve">15. </w:t>
      </w:r>
      <w:r>
        <w:t>版本管理与可复现性</w:t>
      </w:r>
    </w:p>
    <w:p w14:paraId="11395684" w14:textId="77777777" w:rsidR="007347C4" w:rsidRDefault="00000000">
      <w:pPr>
        <w:pStyle w:val="a0"/>
        <w:ind w:left="397" w:hanging="142"/>
      </w:pPr>
      <w:r>
        <w:t>每次回测生成唯一 run_id。</w:t>
      </w:r>
    </w:p>
    <w:p w14:paraId="5FB8B6F4" w14:textId="77777777" w:rsidR="007347C4" w:rsidRDefault="00000000">
      <w:pPr>
        <w:pStyle w:val="a0"/>
        <w:ind w:left="397" w:hanging="142"/>
      </w:pPr>
      <w:r>
        <w:t>每个 run 至少保存 data_version、cleaning_version、factor_version、strategy_version、engine_version。</w:t>
      </w:r>
    </w:p>
    <w:p w14:paraId="4C4FA6E6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完整保存资产池、因子参数、回测区间、共同起点、调仓频率、成本、策略模板和基准配置。</w:t>
      </w:r>
    </w:p>
    <w:p w14:paraId="26C2B3DA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任何代码、数据、因子公式或参数变化均创建新运行，不覆盖旧结果。</w:t>
      </w:r>
    </w:p>
    <w:p w14:paraId="167A740F" w14:textId="77777777" w:rsidR="007347C4" w:rsidRDefault="00000000">
      <w:pPr>
        <w:pStyle w:val="a0"/>
        <w:ind w:left="397" w:hanging="142"/>
      </w:pPr>
      <w:r>
        <w:lastRenderedPageBreak/>
        <w:t>运行状态至少包括 pending、running、completed、failed；失败运行保留异常信息。</w:t>
      </w:r>
    </w:p>
    <w:p w14:paraId="72C33053" w14:textId="77777777" w:rsidR="007347C4" w:rsidRDefault="00000000">
      <w:pPr>
        <w:pStyle w:val="21"/>
      </w:pPr>
      <w:r>
        <w:t xml:space="preserve">16. </w:t>
      </w:r>
      <w:r>
        <w:t>首页排行榜与结果解释</w:t>
      </w:r>
    </w:p>
    <w:p w14:paraId="4521C7EE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初期因子数量较少时，可展示全部候选信号并支持多列排序。</w:t>
      </w:r>
    </w:p>
    <w:p w14:paraId="3BFFBEF7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默认不设置唯一“最佳因子”，避免单一指标主导研究结论。</w:t>
      </w:r>
    </w:p>
    <w:p w14:paraId="5D4DEAD6" w14:textId="77777777" w:rsidR="007347C4" w:rsidRDefault="00000000">
      <w:pPr>
        <w:pStyle w:val="a0"/>
        <w:ind w:left="397" w:hanging="142"/>
      </w:pPr>
      <w:r>
        <w:t>建议首页默认展示：CAGR、Sharpe、最大回撤、Rank IC、相对四 ETF 等权超额收益、年化换手率。</w:t>
      </w:r>
    </w:p>
    <w:p w14:paraId="1136FD2B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分别标记表现较强、表现较弱和异常结果；表现较差不代表反向后必然有效。</w:t>
      </w:r>
    </w:p>
    <w:p w14:paraId="059B23E8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所有排名必须显示对应回测区间、调仓频率、策略模板、交易成本和运行版本。</w:t>
      </w:r>
    </w:p>
    <w:p w14:paraId="2BBD211F" w14:textId="77777777" w:rsidR="007347C4" w:rsidRDefault="00000000">
      <w:pPr>
        <w:pStyle w:val="21"/>
      </w:pPr>
      <w:r>
        <w:t xml:space="preserve">17. </w:t>
      </w:r>
      <w:r>
        <w:t>开发顺序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7347C4" w14:paraId="267E6BED" w14:textId="77777777">
        <w:trPr>
          <w:jc w:val="center"/>
        </w:trPr>
        <w:tc>
          <w:tcPr>
            <w:tcW w:w="3173" w:type="dxa"/>
            <w:shd w:val="clear" w:color="auto" w:fill="EDEDED"/>
            <w:vAlign w:val="center"/>
          </w:tcPr>
          <w:p w14:paraId="11AC71B0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1F923519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w="3173" w:type="dxa"/>
            <w:shd w:val="clear" w:color="auto" w:fill="EDEDED"/>
            <w:vAlign w:val="center"/>
          </w:tcPr>
          <w:p w14:paraId="470BB07C" w14:textId="77777777" w:rsidR="007347C4" w:rsidRDefault="00000000">
            <w:pPr>
              <w:spacing w:after="0"/>
            </w:pPr>
            <w:r>
              <w:rPr>
                <w:b/>
                <w:sz w:val="19"/>
              </w:rPr>
              <w:t>主要交付物</w:t>
            </w:r>
          </w:p>
        </w:tc>
      </w:tr>
      <w:tr w:rsidR="007347C4" w14:paraId="7CDF7D39" w14:textId="77777777">
        <w:trPr>
          <w:jc w:val="center"/>
        </w:trPr>
        <w:tc>
          <w:tcPr>
            <w:tcW w:w="3173" w:type="dxa"/>
            <w:vAlign w:val="center"/>
          </w:tcPr>
          <w:p w14:paraId="5AFF25A2" w14:textId="77777777" w:rsidR="007347C4" w:rsidRDefault="00000000">
            <w:pPr>
              <w:spacing w:after="0"/>
            </w:pPr>
            <w:r>
              <w:rPr>
                <w:sz w:val="19"/>
              </w:rPr>
              <w:t>阶段 1</w:t>
            </w:r>
          </w:p>
        </w:tc>
        <w:tc>
          <w:tcPr>
            <w:tcW w:w="3173" w:type="dxa"/>
            <w:vAlign w:val="center"/>
          </w:tcPr>
          <w:p w14:paraId="09539D15" w14:textId="77777777" w:rsidR="007347C4" w:rsidRDefault="00000000">
            <w:pPr>
              <w:spacing w:after="0"/>
            </w:pPr>
            <w:r>
              <w:rPr>
                <w:sz w:val="19"/>
              </w:rPr>
              <w:t>数据库与数据层</w:t>
            </w:r>
          </w:p>
        </w:tc>
        <w:tc>
          <w:tcPr>
            <w:tcW w:w="3173" w:type="dxa"/>
            <w:vAlign w:val="center"/>
          </w:tcPr>
          <w:p w14:paraId="67BDF150" w14:textId="77777777" w:rsidR="007347C4" w:rsidRDefault="00000000">
            <w:pPr>
              <w:spacing w:after="0"/>
            </w:pPr>
            <w:r>
              <w:rPr>
                <w:sz w:val="19"/>
              </w:rPr>
              <w:t>表结构、迁移、yfinance/FRED 接入、原始数据入库、清洗与质量检查</w:t>
            </w:r>
          </w:p>
        </w:tc>
      </w:tr>
      <w:tr w:rsidR="007347C4" w14:paraId="4CA32A28" w14:textId="77777777">
        <w:trPr>
          <w:jc w:val="center"/>
        </w:trPr>
        <w:tc>
          <w:tcPr>
            <w:tcW w:w="3173" w:type="dxa"/>
            <w:vAlign w:val="center"/>
          </w:tcPr>
          <w:p w14:paraId="24D3FAE1" w14:textId="77777777" w:rsidR="007347C4" w:rsidRDefault="00000000">
            <w:pPr>
              <w:spacing w:after="0"/>
            </w:pPr>
            <w:r>
              <w:rPr>
                <w:sz w:val="19"/>
              </w:rPr>
              <w:t>阶段 2</w:t>
            </w:r>
          </w:p>
        </w:tc>
        <w:tc>
          <w:tcPr>
            <w:tcW w:w="3173" w:type="dxa"/>
            <w:vAlign w:val="center"/>
          </w:tcPr>
          <w:p w14:paraId="734C5749" w14:textId="77777777" w:rsidR="007347C4" w:rsidRDefault="00000000">
            <w:pPr>
              <w:spacing w:after="0"/>
            </w:pPr>
            <w:r>
              <w:rPr>
                <w:sz w:val="19"/>
              </w:rPr>
              <w:t>因子引擎</w:t>
            </w:r>
          </w:p>
        </w:tc>
        <w:tc>
          <w:tcPr>
            <w:tcW w:w="3173" w:type="dxa"/>
            <w:vAlign w:val="center"/>
          </w:tcPr>
          <w:p w14:paraId="52BD8BA5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因子注册表、统一计算接口、v0.1 因子实现、因子值入库和单元测试</w:t>
            </w:r>
          </w:p>
        </w:tc>
      </w:tr>
      <w:tr w:rsidR="007347C4" w14:paraId="5F0B971B" w14:textId="77777777">
        <w:trPr>
          <w:jc w:val="center"/>
        </w:trPr>
        <w:tc>
          <w:tcPr>
            <w:tcW w:w="3173" w:type="dxa"/>
            <w:vAlign w:val="center"/>
          </w:tcPr>
          <w:p w14:paraId="2A952BFB" w14:textId="77777777" w:rsidR="007347C4" w:rsidRDefault="00000000">
            <w:pPr>
              <w:spacing w:after="0"/>
            </w:pPr>
            <w:r>
              <w:rPr>
                <w:sz w:val="19"/>
              </w:rPr>
              <w:t>阶段 3</w:t>
            </w:r>
          </w:p>
        </w:tc>
        <w:tc>
          <w:tcPr>
            <w:tcW w:w="3173" w:type="dxa"/>
            <w:vAlign w:val="center"/>
          </w:tcPr>
          <w:p w14:paraId="37C501CB" w14:textId="77777777" w:rsidR="007347C4" w:rsidRDefault="00000000">
            <w:pPr>
              <w:spacing w:after="0"/>
            </w:pPr>
            <w:r>
              <w:rPr>
                <w:sz w:val="19"/>
              </w:rPr>
              <w:t>信号与组合</w:t>
            </w:r>
          </w:p>
        </w:tc>
        <w:tc>
          <w:tcPr>
            <w:tcW w:w="3173" w:type="dxa"/>
            <w:vAlign w:val="center"/>
          </w:tcPr>
          <w:p w14:paraId="1BE298C6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调仓日识别、横截面排序、Top 2、200 日过滤、储备仓位和目标仓位入库</w:t>
            </w:r>
          </w:p>
        </w:tc>
      </w:tr>
      <w:tr w:rsidR="007347C4" w14:paraId="29326521" w14:textId="77777777">
        <w:trPr>
          <w:jc w:val="center"/>
        </w:trPr>
        <w:tc>
          <w:tcPr>
            <w:tcW w:w="3173" w:type="dxa"/>
            <w:vAlign w:val="center"/>
          </w:tcPr>
          <w:p w14:paraId="5AB0C2F8" w14:textId="77777777" w:rsidR="007347C4" w:rsidRDefault="00000000">
            <w:pPr>
              <w:spacing w:after="0"/>
            </w:pPr>
            <w:r>
              <w:rPr>
                <w:sz w:val="19"/>
              </w:rPr>
              <w:t>阶段 4</w:t>
            </w:r>
          </w:p>
        </w:tc>
        <w:tc>
          <w:tcPr>
            <w:tcW w:w="3173" w:type="dxa"/>
            <w:vAlign w:val="center"/>
          </w:tcPr>
          <w:p w14:paraId="4A348DF8" w14:textId="77777777" w:rsidR="007347C4" w:rsidRDefault="00000000">
            <w:pPr>
              <w:spacing w:after="0"/>
            </w:pPr>
            <w:r>
              <w:rPr>
                <w:sz w:val="19"/>
              </w:rPr>
              <w:t>回测引擎</w:t>
            </w:r>
          </w:p>
        </w:tc>
        <w:tc>
          <w:tcPr>
            <w:tcW w:w="3173" w:type="dxa"/>
            <w:vAlign w:val="center"/>
          </w:tcPr>
          <w:p w14:paraId="5D372FD2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下一交易日开盘执行、换手、成本、仓位、交易和净值</w:t>
            </w:r>
          </w:p>
        </w:tc>
      </w:tr>
      <w:tr w:rsidR="007347C4" w14:paraId="55C925A3" w14:textId="77777777">
        <w:trPr>
          <w:jc w:val="center"/>
        </w:trPr>
        <w:tc>
          <w:tcPr>
            <w:tcW w:w="3173" w:type="dxa"/>
            <w:vAlign w:val="center"/>
          </w:tcPr>
          <w:p w14:paraId="0D5E74AA" w14:textId="77777777" w:rsidR="007347C4" w:rsidRDefault="00000000">
            <w:pPr>
              <w:spacing w:after="0"/>
            </w:pPr>
            <w:r>
              <w:rPr>
                <w:sz w:val="19"/>
              </w:rPr>
              <w:t>阶段 5</w:t>
            </w:r>
          </w:p>
        </w:tc>
        <w:tc>
          <w:tcPr>
            <w:tcW w:w="3173" w:type="dxa"/>
            <w:vAlign w:val="center"/>
          </w:tcPr>
          <w:p w14:paraId="7BAE50C8" w14:textId="77777777" w:rsidR="007347C4" w:rsidRDefault="00000000">
            <w:pPr>
              <w:spacing w:after="0"/>
            </w:pPr>
            <w:r>
              <w:rPr>
                <w:sz w:val="19"/>
              </w:rPr>
              <w:t>绩效引擎</w:t>
            </w:r>
          </w:p>
        </w:tc>
        <w:tc>
          <w:tcPr>
            <w:tcW w:w="3173" w:type="dxa"/>
            <w:vAlign w:val="center"/>
          </w:tcPr>
          <w:p w14:paraId="695DFD3E" w14:textId="77777777" w:rsidR="007347C4" w:rsidRDefault="00000000">
            <w:pPr>
              <w:spacing w:after="0"/>
            </w:pPr>
            <w:r>
              <w:rPr>
                <w:sz w:val="19"/>
              </w:rPr>
              <w:t>核心指标、基准、Rank IC、Top 2-Bottom 2 差值和结果入库</w:t>
            </w:r>
          </w:p>
        </w:tc>
      </w:tr>
      <w:tr w:rsidR="007347C4" w14:paraId="0389362F" w14:textId="77777777">
        <w:trPr>
          <w:jc w:val="center"/>
        </w:trPr>
        <w:tc>
          <w:tcPr>
            <w:tcW w:w="3173" w:type="dxa"/>
            <w:vAlign w:val="center"/>
          </w:tcPr>
          <w:p w14:paraId="20B5D08F" w14:textId="77777777" w:rsidR="007347C4" w:rsidRDefault="00000000">
            <w:pPr>
              <w:spacing w:after="0"/>
            </w:pPr>
            <w:r>
              <w:rPr>
                <w:sz w:val="19"/>
              </w:rPr>
              <w:t>阶段 6</w:t>
            </w:r>
          </w:p>
        </w:tc>
        <w:tc>
          <w:tcPr>
            <w:tcW w:w="3173" w:type="dxa"/>
            <w:vAlign w:val="center"/>
          </w:tcPr>
          <w:p w14:paraId="7A0EB877" w14:textId="77777777" w:rsidR="007347C4" w:rsidRDefault="00000000">
            <w:pPr>
              <w:spacing w:after="0"/>
            </w:pPr>
            <w:r>
              <w:rPr>
                <w:sz w:val="19"/>
              </w:rPr>
              <w:t>API 与前端</w:t>
            </w:r>
          </w:p>
        </w:tc>
        <w:tc>
          <w:tcPr>
            <w:tcW w:w="3173" w:type="dxa"/>
            <w:vAlign w:val="center"/>
          </w:tcPr>
          <w:p w14:paraId="21C7A81D" w14:textId="77777777" w:rsidR="007347C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首页排行榜、因子详情、回测对比、系统状态和错误提示</w:t>
            </w:r>
          </w:p>
        </w:tc>
      </w:tr>
    </w:tbl>
    <w:p w14:paraId="41F04DCA" w14:textId="77777777" w:rsidR="007347C4" w:rsidRDefault="00000000">
      <w:pPr>
        <w:pStyle w:val="21"/>
      </w:pPr>
      <w:r>
        <w:t xml:space="preserve">18. v0.1 </w:t>
      </w:r>
      <w:r>
        <w:t>验收标准</w:t>
      </w:r>
    </w:p>
    <w:p w14:paraId="3AE5185F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可通过一条命令或统一任务完成数据更新、因子计算和批量回测。</w:t>
      </w:r>
    </w:p>
    <w:p w14:paraId="01E4D420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lastRenderedPageBreak/>
        <w:t>所有候选信号使用统一正式回测起点。</w:t>
      </w:r>
    </w:p>
    <w:p w14:paraId="42AA7A69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周频、月频以及两套策略模板均可独立运行。</w:t>
      </w:r>
    </w:p>
    <w:p w14:paraId="2126DD20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2 / 5 / 10 bps 成本场景均可复现和比较。</w:t>
      </w:r>
    </w:p>
    <w:p w14:paraId="6AFDC9F9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每次运行可通过 run_id 完整恢复配置、仓位、交易、净值和指标。</w:t>
      </w:r>
    </w:p>
    <w:p w14:paraId="253A3BE3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前端可按关键指标排序全部因子，并打开因子详情页。</w:t>
      </w:r>
    </w:p>
    <w:p w14:paraId="461832A1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四 ETF 等权与 SPY 基准使用一致的复权和执行口径。</w:t>
      </w:r>
    </w:p>
    <w:p w14:paraId="295B290D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历史运行不会因数据或代码更新被覆盖。</w:t>
      </w:r>
    </w:p>
    <w:p w14:paraId="2942940B" w14:textId="77777777" w:rsidR="007347C4" w:rsidRDefault="00000000">
      <w:pPr>
        <w:pStyle w:val="a"/>
        <w:rPr>
          <w:lang w:eastAsia="zh-CN"/>
        </w:rPr>
      </w:pPr>
      <w:r>
        <w:rPr>
          <w:lang w:eastAsia="zh-CN"/>
        </w:rPr>
        <w:t>核心计算模块具有单元测试，完整流程具有集成测试。</w:t>
      </w:r>
    </w:p>
    <w:p w14:paraId="7A3625EF" w14:textId="77777777" w:rsidR="007347C4" w:rsidRDefault="00000000">
      <w:pPr>
        <w:pStyle w:val="21"/>
      </w:pPr>
      <w:r>
        <w:t xml:space="preserve">19. </w:t>
      </w:r>
      <w:r>
        <w:t>暂不纳入</w:t>
      </w:r>
      <w:r>
        <w:t xml:space="preserve"> v0.1 </w:t>
      </w:r>
      <w:r>
        <w:t>的功能</w:t>
      </w:r>
    </w:p>
    <w:p w14:paraId="0A5A4E05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机器学习自动选因子或优化权重。</w:t>
      </w:r>
    </w:p>
    <w:p w14:paraId="456FC399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基于第一轮结果自动筛选复合因子。</w:t>
      </w:r>
    </w:p>
    <w:p w14:paraId="6BAF9DBF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宏观状态因子、新闻信号和产业轮动。</w:t>
      </w:r>
    </w:p>
    <w:p w14:paraId="4B43881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实时行情、自动实盘交易和订单管理。</w:t>
      </w:r>
    </w:p>
    <w:p w14:paraId="78C7F2BA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Agent 或 LLM 参与正式因子计算、仓位决策和绩效计算。</w:t>
      </w:r>
    </w:p>
    <w:p w14:paraId="29B7C1C2" w14:textId="77777777" w:rsidR="007347C4" w:rsidRDefault="00000000">
      <w:pPr>
        <w:pStyle w:val="a0"/>
        <w:ind w:left="397" w:hanging="142"/>
        <w:rPr>
          <w:lang w:eastAsia="zh-CN"/>
        </w:rPr>
      </w:pPr>
      <w:r>
        <w:rPr>
          <w:lang w:eastAsia="zh-CN"/>
        </w:rPr>
        <w:t>复杂组合优化器、做空、杠杆和衍生品。</w:t>
      </w:r>
    </w:p>
    <w:sectPr w:rsidR="007347C4" w:rsidSect="00034616">
      <w:footerReference w:type="default" r:id="rId8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E69B6" w14:textId="77777777" w:rsidR="00AF622B" w:rsidRDefault="00AF622B">
      <w:pPr>
        <w:spacing w:after="0" w:line="240" w:lineRule="auto"/>
      </w:pPr>
      <w:r>
        <w:separator/>
      </w:r>
    </w:p>
  </w:endnote>
  <w:endnote w:type="continuationSeparator" w:id="0">
    <w:p w14:paraId="605F059D" w14:textId="77777777" w:rsidR="00AF622B" w:rsidRDefault="00AF6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5CB63" w14:textId="77777777" w:rsidR="007347C4" w:rsidRDefault="00000000">
    <w:pPr>
      <w:pStyle w:val="a7"/>
      <w:jc w:val="center"/>
      <w:rPr>
        <w:lang w:eastAsia="zh-CN"/>
      </w:rPr>
    </w:pPr>
    <w:r>
      <w:rPr>
        <w:color w:val="646464"/>
        <w:sz w:val="16"/>
        <w:lang w:eastAsia="zh-CN"/>
      </w:rPr>
      <w:t>风格轮动因子筛选系统 v0.1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09C83" w14:textId="77777777" w:rsidR="00AF622B" w:rsidRDefault="00AF622B">
      <w:pPr>
        <w:spacing w:after="0" w:line="240" w:lineRule="auto"/>
      </w:pPr>
      <w:r>
        <w:separator/>
      </w:r>
    </w:p>
  </w:footnote>
  <w:footnote w:type="continuationSeparator" w:id="0">
    <w:p w14:paraId="391DA73F" w14:textId="77777777" w:rsidR="00AF622B" w:rsidRDefault="00AF62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6151791">
    <w:abstractNumId w:val="8"/>
  </w:num>
  <w:num w:numId="2" w16cid:durableId="1098141609">
    <w:abstractNumId w:val="6"/>
  </w:num>
  <w:num w:numId="3" w16cid:durableId="1229532749">
    <w:abstractNumId w:val="5"/>
  </w:num>
  <w:num w:numId="4" w16cid:durableId="414479438">
    <w:abstractNumId w:val="4"/>
  </w:num>
  <w:num w:numId="5" w16cid:durableId="81070126">
    <w:abstractNumId w:val="7"/>
  </w:num>
  <w:num w:numId="6" w16cid:durableId="1631353305">
    <w:abstractNumId w:val="3"/>
  </w:num>
  <w:num w:numId="7" w16cid:durableId="222521774">
    <w:abstractNumId w:val="2"/>
  </w:num>
  <w:num w:numId="8" w16cid:durableId="1265961236">
    <w:abstractNumId w:val="1"/>
  </w:num>
  <w:num w:numId="9" w16cid:durableId="423037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5830"/>
    <w:rsid w:val="007347C4"/>
    <w:rsid w:val="00AA1D8D"/>
    <w:rsid w:val="00AF622B"/>
    <w:rsid w:val="00B47730"/>
    <w:rsid w:val="00CA435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FD94ED"/>
  <w14:defaultImageDpi w14:val="300"/>
  <w15:docId w15:val="{C6457A36-5165-4B64-84B2-62ED3A4E6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24" w:lineRule="auto"/>
    </w:pPr>
    <w:rPr>
      <w:rFonts w:ascii="微软雅黑" w:eastAsia="微软雅黑" w:hAnsi="微软雅黑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9">
    <w:name w:val="说明"/>
    <w:pPr>
      <w:spacing w:after="120"/>
      <w:ind w:left="340"/>
    </w:pPr>
    <w:rPr>
      <w:rFonts w:ascii="微软雅黑" w:eastAsia="微软雅黑" w:hAnsi="微软雅黑"/>
      <w:color w:val="464646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2300</Words>
  <Characters>2852</Characters>
  <Application>Microsoft Office Word</Application>
  <DocSecurity>0</DocSecurity>
  <Lines>178</Lines>
  <Paragraphs>286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天祺 陆</cp:lastModifiedBy>
  <cp:revision>3</cp:revision>
  <dcterms:created xsi:type="dcterms:W3CDTF">2013-12-23T23:15:00Z</dcterms:created>
  <dcterms:modified xsi:type="dcterms:W3CDTF">2026-07-31T10:22:00Z</dcterms:modified>
  <cp:category/>
</cp:coreProperties>
</file>