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CC0" w14:textId="77777777" w:rsidR="007347C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风格轮动因子筛选系统</w:t>
      </w:r>
      <w:r>
        <w:rPr>
          <w:lang w:eastAsia="zh-CN"/>
        </w:rPr>
        <w:t xml:space="preserve"> v0.1</w:t>
      </w:r>
    </w:p>
    <w:p w14:paraId="6EC15955" w14:textId="77777777" w:rsidR="007347C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研究设计与系统构建方案</w:t>
      </w:r>
    </w:p>
    <w:p w14:paraId="0A8D0E30" w14:textId="77777777" w:rsidR="007347C4" w:rsidRDefault="007347C4">
      <w:pPr>
        <w:rPr>
          <w:lang w:eastAsia="zh-CN"/>
        </w:rPr>
      </w:pPr>
    </w:p>
    <w:p w14:paraId="60660819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研究设计</w:t>
      </w:r>
    </w:p>
    <w:p w14:paraId="45519DEB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研究目标</w:t>
      </w:r>
    </w:p>
    <w:p w14:paraId="67241D5B" w14:textId="77777777" w:rsidR="007347C4" w:rsidRDefault="00000000">
      <w:pPr>
        <w:rPr>
          <w:lang w:eastAsia="zh-CN"/>
        </w:rPr>
      </w:pPr>
      <w:r>
        <w:rPr>
          <w:lang w:eastAsia="zh-CN"/>
        </w:rPr>
        <w:t>建立一个统一、可复现、可扩展的单因子测试引擎，评估基于复权日线 OHLCV 构造的资产级因子，对四种美国股票风格未来相对收益的预测能力，并比较纯横截面策略与绝对趋势过滤策略。</w:t>
      </w:r>
    </w:p>
    <w:p w14:paraId="6F8715DB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系统定位为滚动回测与研究展示平台：所有因子公式、参数、调仓频率、交易成本和策略模板均在每次回测前固定。系统用于观察固定候选信号在指定历史区间内的相对表现，不承担自动寻找最优参数或证明因子永久有效的任务。</w:t>
      </w:r>
    </w:p>
    <w:p w14:paraId="2C5E5EAF" w14:textId="77777777" w:rsidR="007347C4" w:rsidRDefault="00000000">
      <w:pPr>
        <w:pStyle w:val="21"/>
      </w:pPr>
      <w:r>
        <w:t xml:space="preserve">2. </w:t>
      </w:r>
      <w:r>
        <w:t>资产池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E674E35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3B63173F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代码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637FA42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英文名称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2C944F6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中文定位</w:t>
            </w:r>
          </w:p>
        </w:tc>
      </w:tr>
      <w:tr w:rsidR="007347C4" w14:paraId="4125FE0F" w14:textId="77777777">
        <w:trPr>
          <w:jc w:val="center"/>
        </w:trPr>
        <w:tc>
          <w:tcPr>
            <w:tcW w:w="3173" w:type="dxa"/>
            <w:vAlign w:val="center"/>
          </w:tcPr>
          <w:p w14:paraId="0C3033FA" w14:textId="77777777" w:rsidR="007347C4" w:rsidRDefault="00000000">
            <w:pPr>
              <w:spacing w:after="0"/>
            </w:pPr>
            <w:r>
              <w:rPr>
                <w:sz w:val="19"/>
              </w:rPr>
              <w:t>IWF</w:t>
            </w:r>
          </w:p>
        </w:tc>
        <w:tc>
          <w:tcPr>
            <w:tcW w:w="3173" w:type="dxa"/>
            <w:vAlign w:val="center"/>
          </w:tcPr>
          <w:p w14:paraId="3046C6E0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Growth ETF</w:t>
            </w:r>
          </w:p>
        </w:tc>
        <w:tc>
          <w:tcPr>
            <w:tcW w:w="3173" w:type="dxa"/>
            <w:vAlign w:val="center"/>
          </w:tcPr>
          <w:p w14:paraId="26485D0A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美国大中盘成长</w:t>
            </w:r>
          </w:p>
        </w:tc>
      </w:tr>
      <w:tr w:rsidR="007347C4" w14:paraId="769C4526" w14:textId="77777777">
        <w:trPr>
          <w:jc w:val="center"/>
        </w:trPr>
        <w:tc>
          <w:tcPr>
            <w:tcW w:w="3173" w:type="dxa"/>
            <w:vAlign w:val="center"/>
          </w:tcPr>
          <w:p w14:paraId="69904C7B" w14:textId="77777777" w:rsidR="007347C4" w:rsidRDefault="00000000">
            <w:pPr>
              <w:spacing w:after="0"/>
            </w:pPr>
            <w:r>
              <w:rPr>
                <w:sz w:val="19"/>
              </w:rPr>
              <w:t>IWD</w:t>
            </w:r>
          </w:p>
        </w:tc>
        <w:tc>
          <w:tcPr>
            <w:tcW w:w="3173" w:type="dxa"/>
            <w:vAlign w:val="center"/>
          </w:tcPr>
          <w:p w14:paraId="5FD2EC04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Value ETF</w:t>
            </w:r>
          </w:p>
        </w:tc>
        <w:tc>
          <w:tcPr>
            <w:tcW w:w="3173" w:type="dxa"/>
            <w:vAlign w:val="center"/>
          </w:tcPr>
          <w:p w14:paraId="39B52D6B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美国大中盘价值</w:t>
            </w:r>
          </w:p>
        </w:tc>
      </w:tr>
      <w:tr w:rsidR="007347C4" w14:paraId="76D148C6" w14:textId="77777777">
        <w:trPr>
          <w:jc w:val="center"/>
        </w:trPr>
        <w:tc>
          <w:tcPr>
            <w:tcW w:w="3173" w:type="dxa"/>
            <w:vAlign w:val="center"/>
          </w:tcPr>
          <w:p w14:paraId="6415B67E" w14:textId="77777777" w:rsidR="007347C4" w:rsidRDefault="00000000">
            <w:pPr>
              <w:spacing w:after="0"/>
            </w:pPr>
            <w:r>
              <w:rPr>
                <w:sz w:val="19"/>
              </w:rPr>
              <w:t>IWO</w:t>
            </w:r>
          </w:p>
        </w:tc>
        <w:tc>
          <w:tcPr>
            <w:tcW w:w="3173" w:type="dxa"/>
            <w:vAlign w:val="center"/>
          </w:tcPr>
          <w:p w14:paraId="3006EAFF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Growth ETF</w:t>
            </w:r>
          </w:p>
        </w:tc>
        <w:tc>
          <w:tcPr>
            <w:tcW w:w="3173" w:type="dxa"/>
            <w:vAlign w:val="center"/>
          </w:tcPr>
          <w:p w14:paraId="14720FB5" w14:textId="77777777" w:rsidR="007347C4" w:rsidRDefault="00000000">
            <w:pPr>
              <w:spacing w:after="0"/>
            </w:pPr>
            <w:r>
              <w:rPr>
                <w:sz w:val="19"/>
              </w:rPr>
              <w:t>美国小盘成长</w:t>
            </w:r>
          </w:p>
        </w:tc>
      </w:tr>
      <w:tr w:rsidR="007347C4" w14:paraId="22ACFC6A" w14:textId="77777777">
        <w:trPr>
          <w:jc w:val="center"/>
        </w:trPr>
        <w:tc>
          <w:tcPr>
            <w:tcW w:w="3173" w:type="dxa"/>
            <w:vAlign w:val="center"/>
          </w:tcPr>
          <w:p w14:paraId="55E1D2B5" w14:textId="77777777" w:rsidR="007347C4" w:rsidRDefault="00000000">
            <w:pPr>
              <w:spacing w:after="0"/>
            </w:pPr>
            <w:r>
              <w:rPr>
                <w:sz w:val="19"/>
              </w:rPr>
              <w:t>IWN</w:t>
            </w:r>
          </w:p>
        </w:tc>
        <w:tc>
          <w:tcPr>
            <w:tcW w:w="3173" w:type="dxa"/>
            <w:vAlign w:val="center"/>
          </w:tcPr>
          <w:p w14:paraId="535D507B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Value ETF</w:t>
            </w:r>
          </w:p>
        </w:tc>
        <w:tc>
          <w:tcPr>
            <w:tcW w:w="3173" w:type="dxa"/>
            <w:vAlign w:val="center"/>
          </w:tcPr>
          <w:p w14:paraId="3DE559A6" w14:textId="77777777" w:rsidR="007347C4" w:rsidRDefault="00000000">
            <w:pPr>
              <w:spacing w:after="0"/>
            </w:pPr>
            <w:r>
              <w:rPr>
                <w:sz w:val="19"/>
              </w:rPr>
              <w:t>美国小盘价值</w:t>
            </w:r>
          </w:p>
        </w:tc>
      </w:tr>
    </w:tbl>
    <w:p w14:paraId="615C3071" w14:textId="77777777" w:rsidR="007347C4" w:rsidRDefault="007347C4"/>
    <w:p w14:paraId="28BB5943" w14:textId="77777777" w:rsidR="007347C4" w:rsidRDefault="00000000">
      <w:r>
        <w:t>储备仓位：</w:t>
      </w:r>
    </w:p>
    <w:p w14:paraId="365C1CA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 3 个月美国国债收益率代理低风险现金收益。</w:t>
      </w:r>
    </w:p>
    <w:p w14:paraId="06C33CA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储备仓位不参与四只风格 ETF 的横截面排名。</w:t>
      </w:r>
    </w:p>
    <w:p w14:paraId="0AFACFA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仅接收绝对过滤后未使用的风险预算，不视为第五只候选资产。</w:t>
      </w:r>
    </w:p>
    <w:p w14:paraId="52FCEC3E" w14:textId="77777777" w:rsidR="007347C4" w:rsidRDefault="00000000">
      <w:pPr>
        <w:pStyle w:val="21"/>
      </w:pPr>
      <w:r>
        <w:t xml:space="preserve">3. </w:t>
      </w:r>
      <w:r>
        <w:t>数据</w:t>
      </w:r>
    </w:p>
    <w:p w14:paraId="4BFFF7AA" w14:textId="77777777" w:rsidR="007347C4" w:rsidRDefault="00000000">
      <w:pPr>
        <w:pStyle w:val="a0"/>
        <w:ind w:left="397" w:hanging="142"/>
      </w:pPr>
      <w:r>
        <w:t>四只风格 ETF 的复权日线 OHLCV：yfinance。</w:t>
      </w:r>
    </w:p>
    <w:p w14:paraId="35CD193D" w14:textId="77777777" w:rsidR="007347C4" w:rsidRDefault="00000000">
      <w:pPr>
        <w:pStyle w:val="a0"/>
        <w:ind w:left="397" w:hanging="142"/>
      </w:pPr>
      <w:r>
        <w:lastRenderedPageBreak/>
        <w:t>SPY 的复权日线 OHLCV：yfinance。</w:t>
      </w:r>
    </w:p>
    <w:p w14:paraId="184E02E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交易日历：以有效行情日期索引识别美国市场实际交易日。</w:t>
      </w:r>
    </w:p>
    <w:p w14:paraId="03D1B47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储备仓位收益：FRED DGS3MO（3 个月期美国国债收益率）。</w:t>
      </w:r>
    </w:p>
    <w:p w14:paraId="1F05896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原始数据与清洗后数据分层保存；复权口径在全系统中保持一致。</w:t>
      </w:r>
    </w:p>
    <w:p w14:paraId="32743F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统一暖机期至少 252 个交易日，并以所有资产和因子均有效的日期作为共同回测起点。</w:t>
      </w:r>
    </w:p>
    <w:p w14:paraId="30A1F15D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信号与执行时点</w:t>
      </w:r>
    </w:p>
    <w:p w14:paraId="4FB55B1F" w14:textId="77777777" w:rsidR="007347C4" w:rsidRDefault="00000000">
      <w:pPr>
        <w:rPr>
          <w:lang w:eastAsia="zh-CN"/>
        </w:rPr>
      </w:pPr>
      <w:r>
        <w:rPr>
          <w:lang w:eastAsia="zh-CN"/>
        </w:rPr>
        <w:t>周频主测试：</w:t>
      </w:r>
    </w:p>
    <w:p w14:paraId="7B75820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每周最后一个实际交易日收盘后计算因子与目标仓位。</w:t>
      </w:r>
    </w:p>
    <w:p w14:paraId="660A81F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仅使用当日收盘及以前可获得的数据。</w:t>
      </w:r>
    </w:p>
    <w:p w14:paraId="3C27B8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在下一实际交易日开盘执行调仓。</w:t>
      </w:r>
    </w:p>
    <w:p w14:paraId="5AEFC1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持有至下一次调仓执行时点。</w:t>
      </w:r>
    </w:p>
    <w:p w14:paraId="3AD8BF68" w14:textId="77777777" w:rsidR="007347C4" w:rsidRDefault="00000000">
      <w:r>
        <w:t>月频对照测试：</w:t>
      </w:r>
    </w:p>
    <w:p w14:paraId="2833D75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每月最后一个实际交易日收盘后计算。</w:t>
      </w:r>
    </w:p>
    <w:p w14:paraId="67D907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下一实际交易日开盘执行。</w:t>
      </w:r>
    </w:p>
    <w:p w14:paraId="0BF95DD4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不得使用同一根收盘价同时生成信号并假设按该收盘价成交；执行价格与信号价格必须严格错开。</w:t>
      </w:r>
    </w:p>
    <w:p w14:paraId="78914D7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策略模板</w:t>
      </w:r>
    </w:p>
    <w:p w14:paraId="79563BC0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模板</w:t>
      </w:r>
      <w:r>
        <w:rPr>
          <w:lang w:eastAsia="zh-CN"/>
        </w:rPr>
        <w:t xml:space="preserve"> A</w:t>
      </w:r>
      <w:r>
        <w:rPr>
          <w:lang w:eastAsia="zh-CN"/>
        </w:rPr>
        <w:t>：纯横截面</w:t>
      </w:r>
    </w:p>
    <w:p w14:paraId="7C3F2D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按单因子对四只 ETF 进行统一方向处理和横截面排序。</w:t>
      </w:r>
    </w:p>
    <w:p w14:paraId="1EBFD353" w14:textId="77777777" w:rsidR="007347C4" w:rsidRDefault="00000000">
      <w:pPr>
        <w:pStyle w:val="a0"/>
        <w:ind w:left="397" w:hanging="142"/>
      </w:pPr>
      <w:r>
        <w:t>持有排名前二的 ETF，各配置 50%。</w:t>
      </w:r>
    </w:p>
    <w:p w14:paraId="401AC7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排名后二的 ETF 权重为 0。</w:t>
      </w:r>
    </w:p>
    <w:p w14:paraId="5E5DD9D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策略始终保持 100% 股票风险资产仓位。</w:t>
      </w:r>
    </w:p>
    <w:p w14:paraId="517B4F18" w14:textId="5700F48C" w:rsidR="007347C4" w:rsidRPr="00CA4355" w:rsidRDefault="00000000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模板</w:t>
      </w:r>
      <w:r>
        <w:rPr>
          <w:lang w:eastAsia="zh-CN"/>
        </w:rPr>
        <w:t xml:space="preserve"> B</w:t>
      </w:r>
      <w:r>
        <w:rPr>
          <w:lang w:eastAsia="zh-CN"/>
        </w:rPr>
        <w:t>：绝对趋势过滤</w:t>
      </w:r>
      <w:r>
        <w:rPr>
          <w:lang w:eastAsia="zh-CN"/>
        </w:rPr>
        <w:t xml:space="preserve"> + </w:t>
      </w:r>
      <w:r>
        <w:rPr>
          <w:lang w:eastAsia="zh-CN"/>
        </w:rPr>
        <w:t>横截面</w:t>
      </w:r>
    </w:p>
    <w:p w14:paraId="02962FD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固定过滤条件：当日复权收盘价高于过去 200 个交易日复权收盘价的简单移动平均。</w:t>
      </w:r>
    </w:p>
    <w:p w14:paraId="56B57EE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200 日均线仅作为固定风险过滤器，不属于本轮待筛选因子。</w:t>
      </w:r>
    </w:p>
    <w:p w14:paraId="0BD2482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先移除未通过过滤的 ETF，再对剩余 ETF 进行横截面排序。</w:t>
      </w:r>
    </w:p>
    <w:p w14:paraId="1D27B22D" w14:textId="77777777" w:rsidR="007347C4" w:rsidRDefault="00000000">
      <w:pPr>
        <w:pStyle w:val="a0"/>
        <w:ind w:left="397" w:hanging="142"/>
      </w:pPr>
      <w:r>
        <w:t>最多持有排名前二的 ETF，每只最多配置 50%。</w:t>
      </w:r>
    </w:p>
    <w:p w14:paraId="16EB3B4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若仅一只 ETF 合格，则该 ETF 配置 50%，其余 50%进入储备仓位。</w:t>
      </w:r>
    </w:p>
    <w:p w14:paraId="594E89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若没有 ETF 合格，则 100%进入储备仓位。</w:t>
      </w:r>
    </w:p>
    <w:p w14:paraId="34EAE69F" w14:textId="77777777" w:rsidR="007347C4" w:rsidRDefault="00000000">
      <w:pPr>
        <w:pStyle w:val="21"/>
      </w:pPr>
      <w:r>
        <w:t xml:space="preserve">6. </w:t>
      </w:r>
      <w:r>
        <w:t>交易成本</w:t>
      </w:r>
    </w:p>
    <w:p w14:paraId="329E33E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主假设：单边交易成本 5 bps。</w:t>
      </w:r>
    </w:p>
    <w:p w14:paraId="7A3941E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敏感性测试：单边 2 bps、5 bps、10 bps。</w:t>
      </w:r>
    </w:p>
    <w:p w14:paraId="01A370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交易成本按实际权重变化计算，并同时报告成本前与成本后绩效。</w:t>
      </w:r>
    </w:p>
    <w:p w14:paraId="760E70D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佣金、买卖价差、滑点等统一折算为单边 bps 参数；v0.1 不拆分到逐项费用。</w:t>
      </w:r>
    </w:p>
    <w:p w14:paraId="230D062A" w14:textId="77777777" w:rsidR="007347C4" w:rsidRDefault="00000000">
      <w:pPr>
        <w:pStyle w:val="21"/>
      </w:pPr>
      <w:r>
        <w:t xml:space="preserve">7. </w:t>
      </w:r>
      <w:r>
        <w:t>单因子池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3B68023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45B22E8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因子类别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5FAFF6DD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9E65DB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参数 / 窗口</w:t>
            </w:r>
          </w:p>
        </w:tc>
      </w:tr>
      <w:tr w:rsidR="007347C4" w14:paraId="10D9D2BA" w14:textId="77777777">
        <w:trPr>
          <w:jc w:val="center"/>
        </w:trPr>
        <w:tc>
          <w:tcPr>
            <w:tcW w:w="3173" w:type="dxa"/>
            <w:vAlign w:val="center"/>
          </w:tcPr>
          <w:p w14:paraId="6B5EA909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987B4CF" w14:textId="77777777" w:rsidR="007347C4" w:rsidRDefault="00000000">
            <w:pPr>
              <w:spacing w:after="0"/>
            </w:pPr>
            <w:r>
              <w:rPr>
                <w:sz w:val="19"/>
              </w:rPr>
              <w:t>普通动量</w:t>
            </w:r>
          </w:p>
        </w:tc>
        <w:tc>
          <w:tcPr>
            <w:tcW w:w="3173" w:type="dxa"/>
            <w:vAlign w:val="center"/>
          </w:tcPr>
          <w:p w14:paraId="56302A76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20、60、120、252 日</w:t>
            </w:r>
          </w:p>
        </w:tc>
      </w:tr>
      <w:tr w:rsidR="007347C4" w14:paraId="710BA3F2" w14:textId="77777777">
        <w:trPr>
          <w:jc w:val="center"/>
        </w:trPr>
        <w:tc>
          <w:tcPr>
            <w:tcW w:w="3173" w:type="dxa"/>
            <w:vAlign w:val="center"/>
          </w:tcPr>
          <w:p w14:paraId="0F75E597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8F5984A" w14:textId="77777777" w:rsidR="007347C4" w:rsidRDefault="00000000">
            <w:pPr>
              <w:spacing w:after="0"/>
            </w:pPr>
            <w:r>
              <w:rPr>
                <w:sz w:val="19"/>
              </w:rPr>
              <w:t>跳过近期动量</w:t>
            </w:r>
          </w:p>
        </w:tc>
        <w:tc>
          <w:tcPr>
            <w:tcW w:w="3173" w:type="dxa"/>
            <w:vAlign w:val="center"/>
          </w:tcPr>
          <w:p w14:paraId="40E01ED5" w14:textId="77777777" w:rsidR="007347C4" w:rsidRDefault="00000000">
            <w:pPr>
              <w:spacing w:after="0"/>
            </w:pPr>
            <w:r>
              <w:rPr>
                <w:sz w:val="19"/>
              </w:rPr>
              <w:t>120-20、252-20</w:t>
            </w:r>
          </w:p>
        </w:tc>
      </w:tr>
      <w:tr w:rsidR="007347C4" w14:paraId="4B136E84" w14:textId="77777777">
        <w:trPr>
          <w:jc w:val="center"/>
        </w:trPr>
        <w:tc>
          <w:tcPr>
            <w:tcW w:w="3173" w:type="dxa"/>
            <w:vAlign w:val="center"/>
          </w:tcPr>
          <w:p w14:paraId="669D818F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43803486" w14:textId="77777777" w:rsidR="007347C4" w:rsidRDefault="00000000">
            <w:pPr>
              <w:spacing w:after="0"/>
            </w:pPr>
            <w:r>
              <w:rPr>
                <w:sz w:val="19"/>
              </w:rPr>
              <w:t>短期反转</w:t>
            </w:r>
          </w:p>
        </w:tc>
        <w:tc>
          <w:tcPr>
            <w:tcW w:w="3173" w:type="dxa"/>
            <w:vAlign w:val="center"/>
          </w:tcPr>
          <w:p w14:paraId="286BCFE6" w14:textId="77777777" w:rsidR="007347C4" w:rsidRDefault="00000000">
            <w:pPr>
              <w:spacing w:after="0"/>
            </w:pPr>
            <w:r>
              <w:rPr>
                <w:sz w:val="19"/>
              </w:rPr>
              <w:t>5、10 日</w:t>
            </w:r>
          </w:p>
        </w:tc>
      </w:tr>
      <w:tr w:rsidR="007347C4" w14:paraId="6D326068" w14:textId="77777777">
        <w:trPr>
          <w:jc w:val="center"/>
        </w:trPr>
        <w:tc>
          <w:tcPr>
            <w:tcW w:w="3173" w:type="dxa"/>
            <w:vAlign w:val="center"/>
          </w:tcPr>
          <w:p w14:paraId="43838E20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8F0491A" w14:textId="77777777" w:rsidR="007347C4" w:rsidRDefault="00000000">
            <w:pPr>
              <w:spacing w:after="0"/>
            </w:pPr>
            <w:r>
              <w:rPr>
                <w:sz w:val="19"/>
              </w:rPr>
              <w:t>均线趋势</w:t>
            </w:r>
          </w:p>
        </w:tc>
        <w:tc>
          <w:tcPr>
            <w:tcW w:w="3173" w:type="dxa"/>
            <w:vAlign w:val="center"/>
          </w:tcPr>
          <w:p w14:paraId="25313E5E" w14:textId="77777777" w:rsidR="007347C4" w:rsidRDefault="00000000">
            <w:pPr>
              <w:spacing w:after="0"/>
            </w:pPr>
            <w:r>
              <w:rPr>
                <w:sz w:val="19"/>
              </w:rPr>
              <w:t>20/60、60/120</w:t>
            </w:r>
          </w:p>
        </w:tc>
      </w:tr>
      <w:tr w:rsidR="007347C4" w14:paraId="71B9F6C2" w14:textId="77777777">
        <w:trPr>
          <w:jc w:val="center"/>
        </w:trPr>
        <w:tc>
          <w:tcPr>
            <w:tcW w:w="3173" w:type="dxa"/>
            <w:vAlign w:val="center"/>
          </w:tcPr>
          <w:p w14:paraId="40A961D4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D1AD928" w14:textId="77777777" w:rsidR="007347C4" w:rsidRDefault="00000000">
            <w:pPr>
              <w:spacing w:after="0"/>
            </w:pPr>
            <w:r>
              <w:rPr>
                <w:sz w:val="19"/>
              </w:rPr>
              <w:t>距离近期高点</w:t>
            </w:r>
          </w:p>
        </w:tc>
        <w:tc>
          <w:tcPr>
            <w:tcW w:w="3173" w:type="dxa"/>
            <w:vAlign w:val="center"/>
          </w:tcPr>
          <w:p w14:paraId="4A09B6E3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63F06B12" w14:textId="77777777">
        <w:trPr>
          <w:jc w:val="center"/>
        </w:trPr>
        <w:tc>
          <w:tcPr>
            <w:tcW w:w="3173" w:type="dxa"/>
            <w:vAlign w:val="center"/>
          </w:tcPr>
          <w:p w14:paraId="063C57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3F8A035" w14:textId="77777777" w:rsidR="007347C4" w:rsidRDefault="00000000">
            <w:pPr>
              <w:spacing w:after="0"/>
            </w:pPr>
            <w:r>
              <w:rPr>
                <w:sz w:val="19"/>
              </w:rPr>
              <w:t>历史波动率</w:t>
            </w:r>
          </w:p>
        </w:tc>
        <w:tc>
          <w:tcPr>
            <w:tcW w:w="3173" w:type="dxa"/>
            <w:vAlign w:val="center"/>
          </w:tcPr>
          <w:p w14:paraId="0426EA1F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7F27D470" w14:textId="77777777">
        <w:trPr>
          <w:jc w:val="center"/>
        </w:trPr>
        <w:tc>
          <w:tcPr>
            <w:tcW w:w="3173" w:type="dxa"/>
            <w:vAlign w:val="center"/>
          </w:tcPr>
          <w:p w14:paraId="19487A2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0C828070" w14:textId="77777777" w:rsidR="007347C4" w:rsidRDefault="00000000">
            <w:pPr>
              <w:spacing w:after="0"/>
            </w:pPr>
            <w:r>
              <w:rPr>
                <w:sz w:val="19"/>
              </w:rPr>
              <w:t>下行波动率</w:t>
            </w:r>
          </w:p>
        </w:tc>
        <w:tc>
          <w:tcPr>
            <w:tcW w:w="3173" w:type="dxa"/>
            <w:vAlign w:val="center"/>
          </w:tcPr>
          <w:p w14:paraId="0585F580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4293FD37" w14:textId="77777777">
        <w:trPr>
          <w:jc w:val="center"/>
        </w:trPr>
        <w:tc>
          <w:tcPr>
            <w:tcW w:w="3173" w:type="dxa"/>
            <w:vAlign w:val="center"/>
          </w:tcPr>
          <w:p w14:paraId="360DBB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47E21660" w14:textId="77777777" w:rsidR="007347C4" w:rsidRDefault="00000000">
            <w:pPr>
              <w:spacing w:after="0"/>
            </w:pPr>
            <w:r>
              <w:rPr>
                <w:sz w:val="19"/>
              </w:rPr>
              <w:t>最大回撤</w:t>
            </w:r>
          </w:p>
        </w:tc>
        <w:tc>
          <w:tcPr>
            <w:tcW w:w="3173" w:type="dxa"/>
            <w:vAlign w:val="center"/>
          </w:tcPr>
          <w:p w14:paraId="47813325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 日</w:t>
            </w:r>
          </w:p>
        </w:tc>
      </w:tr>
      <w:tr w:rsidR="007347C4" w14:paraId="46274EDF" w14:textId="77777777">
        <w:trPr>
          <w:jc w:val="center"/>
        </w:trPr>
        <w:tc>
          <w:tcPr>
            <w:tcW w:w="3173" w:type="dxa"/>
            <w:vAlign w:val="center"/>
          </w:tcPr>
          <w:p w14:paraId="4265FA9A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D4BB4B2" w14:textId="77777777" w:rsidR="007347C4" w:rsidRDefault="00000000">
            <w:pPr>
              <w:spacing w:after="0"/>
            </w:pPr>
            <w:r>
              <w:rPr>
                <w:sz w:val="19"/>
              </w:rPr>
              <w:t>风险调整动量</w:t>
            </w:r>
          </w:p>
        </w:tc>
        <w:tc>
          <w:tcPr>
            <w:tcW w:w="3173" w:type="dxa"/>
            <w:vAlign w:val="center"/>
          </w:tcPr>
          <w:p w14:paraId="3C5FE6D5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7B7CDBE2" w14:textId="77777777">
        <w:trPr>
          <w:jc w:val="center"/>
        </w:trPr>
        <w:tc>
          <w:tcPr>
            <w:tcW w:w="3173" w:type="dxa"/>
            <w:vAlign w:val="center"/>
          </w:tcPr>
          <w:p w14:paraId="6D09A48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25F93E30" w14:textId="77777777" w:rsidR="007347C4" w:rsidRDefault="00000000">
            <w:pPr>
              <w:spacing w:after="0"/>
            </w:pPr>
            <w:r>
              <w:rPr>
                <w:sz w:val="19"/>
              </w:rPr>
              <w:t>ATR 占比</w:t>
            </w:r>
          </w:p>
        </w:tc>
        <w:tc>
          <w:tcPr>
            <w:tcW w:w="3173" w:type="dxa"/>
            <w:vAlign w:val="center"/>
          </w:tcPr>
          <w:p w14:paraId="65D37002" w14:textId="77777777" w:rsidR="007347C4" w:rsidRDefault="00000000">
            <w:pPr>
              <w:spacing w:after="0"/>
            </w:pPr>
            <w:r>
              <w:rPr>
                <w:sz w:val="19"/>
              </w:rPr>
              <w:t>14、20 日</w:t>
            </w:r>
          </w:p>
        </w:tc>
      </w:tr>
      <w:tr w:rsidR="007347C4" w14:paraId="231604F4" w14:textId="77777777">
        <w:trPr>
          <w:jc w:val="center"/>
        </w:trPr>
        <w:tc>
          <w:tcPr>
            <w:tcW w:w="3173" w:type="dxa"/>
            <w:vAlign w:val="center"/>
          </w:tcPr>
          <w:p w14:paraId="000C612B" w14:textId="77777777" w:rsidR="007347C4" w:rsidRDefault="00000000">
            <w:pPr>
              <w:spacing w:after="0"/>
            </w:pPr>
            <w:r>
              <w:rPr>
                <w:sz w:val="19"/>
              </w:rPr>
              <w:t>成交量</w:t>
            </w:r>
          </w:p>
        </w:tc>
        <w:tc>
          <w:tcPr>
            <w:tcW w:w="3173" w:type="dxa"/>
            <w:vAlign w:val="center"/>
          </w:tcPr>
          <w:p w14:paraId="75F87008" w14:textId="77777777" w:rsidR="007347C4" w:rsidRDefault="00000000">
            <w:pPr>
              <w:spacing w:after="0"/>
            </w:pPr>
            <w:r>
              <w:rPr>
                <w:sz w:val="19"/>
              </w:rPr>
              <w:t>成交量趋势</w:t>
            </w:r>
          </w:p>
        </w:tc>
        <w:tc>
          <w:tcPr>
            <w:tcW w:w="3173" w:type="dxa"/>
            <w:vAlign w:val="center"/>
          </w:tcPr>
          <w:p w14:paraId="56EED2B3" w14:textId="77777777" w:rsidR="007347C4" w:rsidRDefault="00000000">
            <w:pPr>
              <w:spacing w:after="0"/>
            </w:pPr>
            <w:r>
              <w:rPr>
                <w:sz w:val="19"/>
              </w:rPr>
              <w:t>20/60 日</w:t>
            </w:r>
          </w:p>
        </w:tc>
      </w:tr>
    </w:tbl>
    <w:p w14:paraId="1EC8DC02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第一轮只测试预先定义的单因子。不同参数组合视为不同候选信号，不根据第一轮结果自动选择最佳参数。第二轮复合信号使用预先定义的经典组合，不以第一轮赢家作为筛选依据。</w:t>
      </w:r>
    </w:p>
    <w:p w14:paraId="1AAD0AA0" w14:textId="77777777" w:rsidR="007347C4" w:rsidRDefault="00000000">
      <w:pPr>
        <w:pStyle w:val="21"/>
      </w:pPr>
      <w:r>
        <w:t xml:space="preserve">8. </w:t>
      </w:r>
      <w:r>
        <w:t>基准</w:t>
      </w:r>
    </w:p>
    <w:p w14:paraId="7B7D640E" w14:textId="77777777" w:rsidR="007347C4" w:rsidRDefault="00000000">
      <w:r>
        <w:t>核心基准：</w:t>
      </w:r>
    </w:p>
    <w:p w14:paraId="1474555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四只 ETF 静态等权组合：IWF、IWD、IWO、IWN 各 25%，按对应测试频率恢复等权。</w:t>
      </w:r>
    </w:p>
    <w:p w14:paraId="4DF9AB03" w14:textId="77777777" w:rsidR="007347C4" w:rsidRDefault="00000000">
      <w:pPr>
        <w:pStyle w:val="a0"/>
        <w:ind w:left="397" w:hanging="142"/>
      </w:pPr>
      <w:r>
        <w:t>SPY 买入并持有。</w:t>
      </w:r>
    </w:p>
    <w:p w14:paraId="7E2280D5" w14:textId="77777777" w:rsidR="007347C4" w:rsidRDefault="00000000">
      <w:r>
        <w:t>诊断参考：</w:t>
      </w:r>
    </w:p>
    <w:p w14:paraId="0CB557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IWF、IWD、IWO、IWN 分别买入并持有，用于识别策略是否长期偏向单一赢家。</w:t>
      </w:r>
    </w:p>
    <w:p w14:paraId="23D96850" w14:textId="77777777" w:rsidR="007347C4" w:rsidRDefault="00000000">
      <w:pPr>
        <w:pStyle w:val="21"/>
      </w:pPr>
      <w:r>
        <w:t xml:space="preserve">9. </w:t>
      </w:r>
      <w:r>
        <w:t>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347C4" w14:paraId="1EFFE371" w14:textId="77777777">
        <w:trPr>
          <w:jc w:val="center"/>
        </w:trPr>
        <w:tc>
          <w:tcPr>
            <w:tcW w:w="4759" w:type="dxa"/>
            <w:shd w:val="clear" w:color="auto" w:fill="EDEDED"/>
            <w:vAlign w:val="center"/>
          </w:tcPr>
          <w:p w14:paraId="66838F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759" w:type="dxa"/>
            <w:shd w:val="clear" w:color="auto" w:fill="EDEDED"/>
            <w:vAlign w:val="center"/>
          </w:tcPr>
          <w:p w14:paraId="602C4FD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指标</w:t>
            </w:r>
          </w:p>
        </w:tc>
      </w:tr>
      <w:tr w:rsidR="007347C4" w14:paraId="2CD2A6DB" w14:textId="77777777">
        <w:trPr>
          <w:jc w:val="center"/>
        </w:trPr>
        <w:tc>
          <w:tcPr>
            <w:tcW w:w="4759" w:type="dxa"/>
            <w:vAlign w:val="center"/>
          </w:tcPr>
          <w:p w14:paraId="59C534F3" w14:textId="77777777" w:rsidR="007347C4" w:rsidRDefault="00000000">
            <w:pPr>
              <w:spacing w:after="0"/>
            </w:pPr>
            <w:r>
              <w:rPr>
                <w:sz w:val="19"/>
              </w:rPr>
              <w:t>因子预测能力</w:t>
            </w:r>
          </w:p>
        </w:tc>
        <w:tc>
          <w:tcPr>
            <w:tcW w:w="4759" w:type="dxa"/>
            <w:vAlign w:val="center"/>
          </w:tcPr>
          <w:p w14:paraId="7D8D3261" w14:textId="77777777" w:rsidR="007347C4" w:rsidRDefault="00000000">
            <w:pPr>
              <w:spacing w:after="0"/>
            </w:pPr>
            <w:r>
              <w:rPr>
                <w:sz w:val="19"/>
              </w:rPr>
              <w:t>Rank IC 均值；正 IC 比例；Top 2 - Bottom 2 下一持有期收益差</w:t>
            </w:r>
          </w:p>
        </w:tc>
      </w:tr>
      <w:tr w:rsidR="007347C4" w14:paraId="48CFCCA2" w14:textId="77777777">
        <w:trPr>
          <w:jc w:val="center"/>
        </w:trPr>
        <w:tc>
          <w:tcPr>
            <w:tcW w:w="4759" w:type="dxa"/>
            <w:vAlign w:val="center"/>
          </w:tcPr>
          <w:p w14:paraId="2857DD87" w14:textId="77777777" w:rsidR="007347C4" w:rsidRDefault="00000000">
            <w:pPr>
              <w:spacing w:after="0"/>
            </w:pPr>
            <w:r>
              <w:rPr>
                <w:sz w:val="19"/>
              </w:rPr>
              <w:t>收益</w:t>
            </w:r>
          </w:p>
        </w:tc>
        <w:tc>
          <w:tcPr>
            <w:tcW w:w="4759" w:type="dxa"/>
            <w:vAlign w:val="center"/>
          </w:tcPr>
          <w:p w14:paraId="4DDA3FD6" w14:textId="77777777" w:rsidR="007347C4" w:rsidRDefault="00000000">
            <w:pPr>
              <w:spacing w:after="0"/>
            </w:pPr>
            <w:r>
              <w:rPr>
                <w:sz w:val="19"/>
              </w:rPr>
              <w:t>累计收益；CAGR</w:t>
            </w:r>
          </w:p>
        </w:tc>
      </w:tr>
      <w:tr w:rsidR="007347C4" w14:paraId="06AF873E" w14:textId="77777777">
        <w:trPr>
          <w:jc w:val="center"/>
        </w:trPr>
        <w:tc>
          <w:tcPr>
            <w:tcW w:w="4759" w:type="dxa"/>
            <w:vAlign w:val="center"/>
          </w:tcPr>
          <w:p w14:paraId="66EA3F29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4759" w:type="dxa"/>
            <w:vAlign w:val="center"/>
          </w:tcPr>
          <w:p w14:paraId="4385FFB4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年化波动率；最大回撤</w:t>
            </w:r>
          </w:p>
        </w:tc>
      </w:tr>
      <w:tr w:rsidR="007347C4" w14:paraId="2F44C0C8" w14:textId="77777777">
        <w:trPr>
          <w:jc w:val="center"/>
        </w:trPr>
        <w:tc>
          <w:tcPr>
            <w:tcW w:w="4759" w:type="dxa"/>
            <w:vAlign w:val="center"/>
          </w:tcPr>
          <w:p w14:paraId="16E409C0" w14:textId="77777777" w:rsidR="007347C4" w:rsidRDefault="00000000">
            <w:pPr>
              <w:spacing w:after="0"/>
            </w:pPr>
            <w:r>
              <w:rPr>
                <w:sz w:val="19"/>
              </w:rPr>
              <w:t>风险调整收益</w:t>
            </w:r>
          </w:p>
        </w:tc>
        <w:tc>
          <w:tcPr>
            <w:tcW w:w="4759" w:type="dxa"/>
            <w:vAlign w:val="center"/>
          </w:tcPr>
          <w:p w14:paraId="4556D561" w14:textId="77777777" w:rsidR="007347C4" w:rsidRDefault="00000000">
            <w:pPr>
              <w:spacing w:after="0"/>
            </w:pPr>
            <w:r>
              <w:rPr>
                <w:sz w:val="19"/>
              </w:rPr>
              <w:t>Sharpe；Sortino；Calmar</w:t>
            </w:r>
          </w:p>
        </w:tc>
      </w:tr>
      <w:tr w:rsidR="007347C4" w14:paraId="7712E724" w14:textId="77777777">
        <w:trPr>
          <w:jc w:val="center"/>
        </w:trPr>
        <w:tc>
          <w:tcPr>
            <w:tcW w:w="4759" w:type="dxa"/>
            <w:vAlign w:val="center"/>
          </w:tcPr>
          <w:p w14:paraId="7BA48AA0" w14:textId="77777777" w:rsidR="007347C4" w:rsidRDefault="00000000">
            <w:pPr>
              <w:spacing w:after="0"/>
            </w:pPr>
            <w:r>
              <w:rPr>
                <w:sz w:val="19"/>
              </w:rPr>
              <w:t>相对基准</w:t>
            </w:r>
          </w:p>
        </w:tc>
        <w:tc>
          <w:tcPr>
            <w:tcW w:w="4759" w:type="dxa"/>
            <w:vAlign w:val="center"/>
          </w:tcPr>
          <w:p w14:paraId="72671163" w14:textId="77777777" w:rsidR="007347C4" w:rsidRDefault="00000000">
            <w:pPr>
              <w:spacing w:after="0"/>
            </w:pPr>
            <w:r>
              <w:rPr>
                <w:sz w:val="19"/>
              </w:rPr>
              <w:t>超额收益；Tracking Error；Information Ratio</w:t>
            </w:r>
          </w:p>
        </w:tc>
      </w:tr>
      <w:tr w:rsidR="007347C4" w14:paraId="4143015E" w14:textId="77777777">
        <w:trPr>
          <w:jc w:val="center"/>
        </w:trPr>
        <w:tc>
          <w:tcPr>
            <w:tcW w:w="4759" w:type="dxa"/>
            <w:vAlign w:val="center"/>
          </w:tcPr>
          <w:p w14:paraId="2B3A4ABD" w14:textId="77777777" w:rsidR="007347C4" w:rsidRDefault="00000000">
            <w:pPr>
              <w:spacing w:after="0"/>
            </w:pPr>
            <w:r>
              <w:rPr>
                <w:sz w:val="19"/>
              </w:rPr>
              <w:t>交易行为</w:t>
            </w:r>
          </w:p>
        </w:tc>
        <w:tc>
          <w:tcPr>
            <w:tcW w:w="4759" w:type="dxa"/>
            <w:vAlign w:val="center"/>
          </w:tcPr>
          <w:p w14:paraId="7651F5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年化换手率；累计交易成本；平均储备仓位（模板 B）</w:t>
            </w:r>
          </w:p>
        </w:tc>
      </w:tr>
    </w:tbl>
    <w:p w14:paraId="429847E4" w14:textId="77777777" w:rsidR="007347C4" w:rsidRDefault="00000000">
      <w:pPr>
        <w:pStyle w:val="21"/>
      </w:pPr>
      <w:r>
        <w:t xml:space="preserve">10. </w:t>
      </w:r>
      <w:r>
        <w:t>回测协议与稳健性测试</w:t>
      </w:r>
    </w:p>
    <w:p w14:paraId="670AE06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所有因子、参数、调仓频率、交易成本、策略模板和回测区间在运行前固定。</w:t>
      </w:r>
    </w:p>
    <w:p w14:paraId="274EA7F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不同参数组合分别作为独立候选信号运行，不在同一次回测中自动择优。</w:t>
      </w:r>
    </w:p>
    <w:p w14:paraId="0F8E16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所有候选信号使用统一正式回测起点，以确保结果可比。</w:t>
      </w:r>
    </w:p>
    <w:p w14:paraId="590BBF2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系统支持从指定最近年份开始滚动回测；起止日期作为 run 配置保存。</w:t>
      </w:r>
    </w:p>
    <w:p w14:paraId="32B1419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周频与月频分别运行并报告，不在运行后以最佳结果替代原计划。</w:t>
      </w:r>
    </w:p>
    <w:p w14:paraId="552E127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 / 5 / 10 bps 成本场景分别保留。</w:t>
      </w:r>
    </w:p>
    <w:p w14:paraId="6386A26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纯横截面与绝对过滤模板分别保留。</w:t>
      </w:r>
    </w:p>
    <w:p w14:paraId="3F109D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可按不同市场阶段切片展示结果，但市场阶段划分仅用于解释，不用于事后调参。</w:t>
      </w:r>
    </w:p>
    <w:p w14:paraId="7B6ED3E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任何规则或参数修改均生成新版本和新运行记录，不覆盖历史结果。</w:t>
      </w:r>
    </w:p>
    <w:p w14:paraId="65C36130" w14:textId="77777777" w:rsidR="007347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74516C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系统设计方案</w:t>
      </w:r>
    </w:p>
    <w:p w14:paraId="70644DAF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系统定位与设计原则</w:t>
      </w:r>
    </w:p>
    <w:p w14:paraId="53052E48" w14:textId="77777777" w:rsidR="007347C4" w:rsidRDefault="00000000">
      <w:pPr>
        <w:pStyle w:val="a0"/>
        <w:ind w:left="397" w:hanging="142"/>
      </w:pPr>
      <w:r>
        <w:t>系统是一台确定性的因子计算与回测机器，不在核心计算链路中使用 Agent 或 LLM。</w:t>
      </w:r>
    </w:p>
    <w:p w14:paraId="08CD55C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Python 负责数据清洗、因子计算、组合生成、回测和绩效计算。</w:t>
      </w:r>
    </w:p>
    <w:p w14:paraId="4861648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数据库负责分层存储、版本追踪、结果复现和前端查询。</w:t>
      </w:r>
    </w:p>
    <w:p w14:paraId="5B5B4F3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前端只读取已计算结果，不在浏览器端执行正式回测。</w:t>
      </w:r>
    </w:p>
    <w:p w14:paraId="58FAAA3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LLM 未来仅可用于研究辅助、异常解释或文档生成，不参与正式仓位决策。</w:t>
      </w:r>
    </w:p>
    <w:p w14:paraId="23614438" w14:textId="77777777" w:rsidR="007347C4" w:rsidRDefault="00000000">
      <w:pPr>
        <w:pStyle w:val="21"/>
      </w:pPr>
      <w:r>
        <w:t xml:space="preserve">12. </w:t>
      </w:r>
      <w:r>
        <w:t>总体架构</w:t>
      </w:r>
    </w:p>
    <w:p w14:paraId="6582E751" w14:textId="77777777" w:rsidR="007347C4" w:rsidRDefault="00000000">
      <w:pPr>
        <w:pStyle w:val="a"/>
      </w:pPr>
      <w:r>
        <w:t>数据接入层：下载 yfinance 与 FRED 数据，并保存原始版本。</w:t>
      </w:r>
    </w:p>
    <w:p w14:paraId="69F0F97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数据清洗与质量检查层：检查缺失、重复、异常值、日期和复权口径。</w:t>
      </w:r>
    </w:p>
    <w:p w14:paraId="5CA06C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因子注册与计算层：根据因子注册表批量计算各资产各日期的因子值。</w:t>
      </w:r>
    </w:p>
    <w:p w14:paraId="1174411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信号与组合生成层：完成方向统一、横截面排序、趋势过滤和目标权重生成。</w:t>
      </w:r>
    </w:p>
    <w:p w14:paraId="33F2F39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回测执行层：按下一交易日开盘价模拟交易，计算换手、成本、仓位和每日净值。</w:t>
      </w:r>
    </w:p>
    <w:p w14:paraId="0A76C916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绩效指标层：计算因子预测指标、收益、风险、相对基准和交易行为指标。</w:t>
      </w:r>
    </w:p>
    <w:p w14:paraId="0A0D087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API 与前端层：展示排行榜、因子详情、回测对比和系统状态。</w:t>
      </w:r>
    </w:p>
    <w:p w14:paraId="31099A6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数据分层与核心数据对象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396D1224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5875934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数据层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1A0ACB1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建议表名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0DD33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主要用途</w:t>
            </w:r>
          </w:p>
        </w:tc>
      </w:tr>
      <w:tr w:rsidR="007347C4" w14:paraId="041668AC" w14:textId="77777777">
        <w:trPr>
          <w:jc w:val="center"/>
        </w:trPr>
        <w:tc>
          <w:tcPr>
            <w:tcW w:w="3173" w:type="dxa"/>
            <w:vAlign w:val="center"/>
          </w:tcPr>
          <w:p w14:paraId="285DC03A" w14:textId="77777777" w:rsidR="007347C4" w:rsidRDefault="00000000">
            <w:pPr>
              <w:spacing w:after="0"/>
            </w:pPr>
            <w:r>
              <w:rPr>
                <w:sz w:val="19"/>
              </w:rPr>
              <w:t>原始行情数据</w:t>
            </w:r>
          </w:p>
        </w:tc>
        <w:tc>
          <w:tcPr>
            <w:tcW w:w="3173" w:type="dxa"/>
            <w:vAlign w:val="center"/>
          </w:tcPr>
          <w:p w14:paraId="2FA4400C" w14:textId="77777777" w:rsidR="007347C4" w:rsidRDefault="00000000">
            <w:pPr>
              <w:spacing w:after="0"/>
            </w:pPr>
            <w:r>
              <w:rPr>
                <w:sz w:val="19"/>
              </w:rPr>
              <w:t>raw_market_prices</w:t>
            </w:r>
          </w:p>
        </w:tc>
        <w:tc>
          <w:tcPr>
            <w:tcW w:w="3173" w:type="dxa"/>
            <w:vAlign w:val="center"/>
          </w:tcPr>
          <w:p w14:paraId="4B39D11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保存未经业务清洗的下载结果、来源、下载时间和数据版本</w:t>
            </w:r>
          </w:p>
        </w:tc>
      </w:tr>
      <w:tr w:rsidR="007347C4" w14:paraId="3007D29B" w14:textId="77777777">
        <w:trPr>
          <w:jc w:val="center"/>
        </w:trPr>
        <w:tc>
          <w:tcPr>
            <w:tcW w:w="3173" w:type="dxa"/>
            <w:vAlign w:val="center"/>
          </w:tcPr>
          <w:p w14:paraId="6ABA4CBF" w14:textId="77777777" w:rsidR="007347C4" w:rsidRDefault="00000000">
            <w:pPr>
              <w:spacing w:after="0"/>
            </w:pPr>
            <w:r>
              <w:rPr>
                <w:sz w:val="19"/>
              </w:rPr>
              <w:t>清洗行情数据</w:t>
            </w:r>
          </w:p>
        </w:tc>
        <w:tc>
          <w:tcPr>
            <w:tcW w:w="3173" w:type="dxa"/>
            <w:vAlign w:val="center"/>
          </w:tcPr>
          <w:p w14:paraId="081F396B" w14:textId="77777777" w:rsidR="007347C4" w:rsidRDefault="00000000">
            <w:pPr>
              <w:spacing w:after="0"/>
            </w:pPr>
            <w:r>
              <w:rPr>
                <w:sz w:val="19"/>
              </w:rPr>
              <w:t>clean_market_prices</w:t>
            </w:r>
          </w:p>
        </w:tc>
        <w:tc>
          <w:tcPr>
            <w:tcW w:w="3173" w:type="dxa"/>
            <w:vAlign w:val="center"/>
          </w:tcPr>
          <w:p w14:paraId="30EA854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保存通过质量检查后的统一复权行情</w:t>
            </w:r>
          </w:p>
        </w:tc>
      </w:tr>
      <w:tr w:rsidR="007347C4" w14:paraId="2F63C597" w14:textId="77777777">
        <w:trPr>
          <w:jc w:val="center"/>
        </w:trPr>
        <w:tc>
          <w:tcPr>
            <w:tcW w:w="3173" w:type="dxa"/>
            <w:vAlign w:val="center"/>
          </w:tcPr>
          <w:p w14:paraId="372747AC" w14:textId="77777777" w:rsidR="007347C4" w:rsidRDefault="00000000">
            <w:pPr>
              <w:spacing w:after="0"/>
            </w:pPr>
            <w:r>
              <w:rPr>
                <w:sz w:val="19"/>
              </w:rPr>
              <w:t>储备收益数据</w:t>
            </w:r>
          </w:p>
        </w:tc>
        <w:tc>
          <w:tcPr>
            <w:tcW w:w="3173" w:type="dxa"/>
            <w:vAlign w:val="center"/>
          </w:tcPr>
          <w:p w14:paraId="78F55045" w14:textId="77777777" w:rsidR="007347C4" w:rsidRDefault="00000000">
            <w:pPr>
              <w:spacing w:after="0"/>
            </w:pPr>
            <w:r>
              <w:rPr>
                <w:sz w:val="19"/>
              </w:rPr>
              <w:t>reserve_rates</w:t>
            </w:r>
          </w:p>
        </w:tc>
        <w:tc>
          <w:tcPr>
            <w:tcW w:w="3173" w:type="dxa"/>
            <w:vAlign w:val="center"/>
          </w:tcPr>
          <w:p w14:paraId="76156F8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DGS3MO 及日收益转换结果</w:t>
            </w:r>
          </w:p>
        </w:tc>
      </w:tr>
      <w:tr w:rsidR="007347C4" w14:paraId="42C7232A" w14:textId="77777777">
        <w:trPr>
          <w:jc w:val="center"/>
        </w:trPr>
        <w:tc>
          <w:tcPr>
            <w:tcW w:w="3173" w:type="dxa"/>
            <w:vAlign w:val="center"/>
          </w:tcPr>
          <w:p w14:paraId="219FF2F8" w14:textId="77777777" w:rsidR="007347C4" w:rsidRDefault="00000000">
            <w:pPr>
              <w:spacing w:after="0"/>
            </w:pPr>
            <w:r>
              <w:rPr>
                <w:sz w:val="19"/>
              </w:rPr>
              <w:t>因子注册表</w:t>
            </w:r>
          </w:p>
        </w:tc>
        <w:tc>
          <w:tcPr>
            <w:tcW w:w="3173" w:type="dxa"/>
            <w:vAlign w:val="center"/>
          </w:tcPr>
          <w:p w14:paraId="1038E804" w14:textId="77777777" w:rsidR="007347C4" w:rsidRDefault="00000000">
            <w:pPr>
              <w:spacing w:after="0"/>
            </w:pPr>
            <w:r>
              <w:rPr>
                <w:sz w:val="19"/>
              </w:rPr>
              <w:t>factor_registry</w:t>
            </w:r>
          </w:p>
        </w:tc>
        <w:tc>
          <w:tcPr>
            <w:tcW w:w="3173" w:type="dxa"/>
            <w:vAlign w:val="center"/>
          </w:tcPr>
          <w:p w14:paraId="7229A5B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保存因子定义、参数、方向、暖机期和版本</w:t>
            </w:r>
          </w:p>
        </w:tc>
      </w:tr>
      <w:tr w:rsidR="007347C4" w14:paraId="1F168888" w14:textId="77777777">
        <w:trPr>
          <w:jc w:val="center"/>
        </w:trPr>
        <w:tc>
          <w:tcPr>
            <w:tcW w:w="3173" w:type="dxa"/>
            <w:vAlign w:val="center"/>
          </w:tcPr>
          <w:p w14:paraId="6C9CD966" w14:textId="77777777" w:rsidR="007347C4" w:rsidRDefault="00000000">
            <w:pPr>
              <w:spacing w:after="0"/>
            </w:pPr>
            <w:r>
              <w:rPr>
                <w:sz w:val="19"/>
              </w:rPr>
              <w:t>因子值</w:t>
            </w:r>
          </w:p>
        </w:tc>
        <w:tc>
          <w:tcPr>
            <w:tcW w:w="3173" w:type="dxa"/>
            <w:vAlign w:val="center"/>
          </w:tcPr>
          <w:p w14:paraId="584D0169" w14:textId="77777777" w:rsidR="007347C4" w:rsidRDefault="00000000">
            <w:pPr>
              <w:spacing w:after="0"/>
            </w:pPr>
            <w:r>
              <w:rPr>
                <w:sz w:val="19"/>
              </w:rPr>
              <w:t>factor_values</w:t>
            </w:r>
          </w:p>
        </w:tc>
        <w:tc>
          <w:tcPr>
            <w:tcW w:w="3173" w:type="dxa"/>
            <w:vAlign w:val="center"/>
          </w:tcPr>
          <w:p w14:paraId="1D3BED9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保存每个因子、资产和信号日期的</w:t>
            </w:r>
            <w:r>
              <w:rPr>
                <w:sz w:val="19"/>
                <w:lang w:eastAsia="zh-CN"/>
              </w:rPr>
              <w:lastRenderedPageBreak/>
              <w:t>数值</w:t>
            </w:r>
          </w:p>
        </w:tc>
      </w:tr>
      <w:tr w:rsidR="007347C4" w14:paraId="3AD2270A" w14:textId="77777777">
        <w:trPr>
          <w:jc w:val="center"/>
        </w:trPr>
        <w:tc>
          <w:tcPr>
            <w:tcW w:w="3173" w:type="dxa"/>
            <w:vAlign w:val="center"/>
          </w:tcPr>
          <w:p w14:paraId="3E80989B" w14:textId="77777777" w:rsidR="007347C4" w:rsidRDefault="00000000">
            <w:pPr>
              <w:spacing w:after="0"/>
            </w:pPr>
            <w:r>
              <w:rPr>
                <w:sz w:val="19"/>
              </w:rPr>
              <w:lastRenderedPageBreak/>
              <w:t>回测运行</w:t>
            </w:r>
          </w:p>
        </w:tc>
        <w:tc>
          <w:tcPr>
            <w:tcW w:w="3173" w:type="dxa"/>
            <w:vAlign w:val="center"/>
          </w:tcPr>
          <w:p w14:paraId="666B4BEC" w14:textId="77777777" w:rsidR="007347C4" w:rsidRDefault="00000000">
            <w:pPr>
              <w:spacing w:after="0"/>
            </w:pPr>
            <w:r>
              <w:rPr>
                <w:sz w:val="19"/>
              </w:rPr>
              <w:t>backtest_runs</w:t>
            </w:r>
          </w:p>
        </w:tc>
        <w:tc>
          <w:tcPr>
            <w:tcW w:w="3173" w:type="dxa"/>
            <w:vAlign w:val="center"/>
          </w:tcPr>
          <w:p w14:paraId="3D4C7FD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保存每次运行的全部配置和版本信息</w:t>
            </w:r>
          </w:p>
        </w:tc>
      </w:tr>
      <w:tr w:rsidR="007347C4" w14:paraId="40AC1791" w14:textId="77777777">
        <w:trPr>
          <w:jc w:val="center"/>
        </w:trPr>
        <w:tc>
          <w:tcPr>
            <w:tcW w:w="3173" w:type="dxa"/>
            <w:vAlign w:val="center"/>
          </w:tcPr>
          <w:p w14:paraId="2B3077BC" w14:textId="77777777" w:rsidR="007347C4" w:rsidRDefault="00000000">
            <w:pPr>
              <w:spacing w:after="0"/>
            </w:pPr>
            <w:r>
              <w:rPr>
                <w:sz w:val="19"/>
              </w:rPr>
              <w:t>目标仓位</w:t>
            </w:r>
          </w:p>
        </w:tc>
        <w:tc>
          <w:tcPr>
            <w:tcW w:w="3173" w:type="dxa"/>
            <w:vAlign w:val="center"/>
          </w:tcPr>
          <w:p w14:paraId="7D6E3D9C" w14:textId="77777777" w:rsidR="007347C4" w:rsidRDefault="00000000">
            <w:pPr>
              <w:spacing w:after="0"/>
            </w:pPr>
            <w:r>
              <w:rPr>
                <w:sz w:val="19"/>
              </w:rPr>
              <w:t>target_positions</w:t>
            </w:r>
          </w:p>
        </w:tc>
        <w:tc>
          <w:tcPr>
            <w:tcW w:w="3173" w:type="dxa"/>
            <w:vAlign w:val="center"/>
          </w:tcPr>
          <w:p w14:paraId="093E93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保存信号日期、执行日期、排名、过滤状态和目标权重</w:t>
            </w:r>
          </w:p>
        </w:tc>
      </w:tr>
      <w:tr w:rsidR="007347C4" w14:paraId="298464C6" w14:textId="77777777">
        <w:trPr>
          <w:jc w:val="center"/>
        </w:trPr>
        <w:tc>
          <w:tcPr>
            <w:tcW w:w="3173" w:type="dxa"/>
            <w:vAlign w:val="center"/>
          </w:tcPr>
          <w:p w14:paraId="2510FFA0" w14:textId="77777777" w:rsidR="007347C4" w:rsidRDefault="00000000">
            <w:pPr>
              <w:spacing w:after="0"/>
            </w:pPr>
            <w:r>
              <w:rPr>
                <w:sz w:val="19"/>
              </w:rPr>
              <w:t>交易记录</w:t>
            </w:r>
          </w:p>
        </w:tc>
        <w:tc>
          <w:tcPr>
            <w:tcW w:w="3173" w:type="dxa"/>
            <w:vAlign w:val="center"/>
          </w:tcPr>
          <w:p w14:paraId="182B70D3" w14:textId="77777777" w:rsidR="007347C4" w:rsidRDefault="00000000">
            <w:pPr>
              <w:spacing w:after="0"/>
            </w:pPr>
            <w:r>
              <w:rPr>
                <w:sz w:val="19"/>
              </w:rPr>
              <w:t>trade_history</w:t>
            </w:r>
          </w:p>
        </w:tc>
        <w:tc>
          <w:tcPr>
            <w:tcW w:w="3173" w:type="dxa"/>
            <w:vAlign w:val="center"/>
          </w:tcPr>
          <w:p w14:paraId="5593FE0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保存买卖、成交价格、权重变化、换手和成本</w:t>
            </w:r>
          </w:p>
        </w:tc>
      </w:tr>
      <w:tr w:rsidR="007347C4" w14:paraId="0E67C9B4" w14:textId="77777777">
        <w:trPr>
          <w:jc w:val="center"/>
        </w:trPr>
        <w:tc>
          <w:tcPr>
            <w:tcW w:w="3173" w:type="dxa"/>
            <w:vAlign w:val="center"/>
          </w:tcPr>
          <w:p w14:paraId="571AD5CC" w14:textId="77777777" w:rsidR="007347C4" w:rsidRDefault="00000000">
            <w:pPr>
              <w:spacing w:after="0"/>
            </w:pPr>
            <w:r>
              <w:rPr>
                <w:sz w:val="19"/>
              </w:rPr>
              <w:t>仓位历史</w:t>
            </w:r>
          </w:p>
        </w:tc>
        <w:tc>
          <w:tcPr>
            <w:tcW w:w="3173" w:type="dxa"/>
            <w:vAlign w:val="center"/>
          </w:tcPr>
          <w:p w14:paraId="3B88D318" w14:textId="77777777" w:rsidR="007347C4" w:rsidRDefault="00000000">
            <w:pPr>
              <w:spacing w:after="0"/>
            </w:pPr>
            <w:r>
              <w:rPr>
                <w:sz w:val="19"/>
              </w:rPr>
              <w:t>position_history</w:t>
            </w:r>
          </w:p>
        </w:tc>
        <w:tc>
          <w:tcPr>
            <w:tcW w:w="3173" w:type="dxa"/>
            <w:vAlign w:val="center"/>
          </w:tcPr>
          <w:p w14:paraId="0B170D59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保存每日或调仓后的实际组合权重</w:t>
            </w:r>
          </w:p>
        </w:tc>
      </w:tr>
      <w:tr w:rsidR="007347C4" w14:paraId="2D9908A5" w14:textId="77777777">
        <w:trPr>
          <w:jc w:val="center"/>
        </w:trPr>
        <w:tc>
          <w:tcPr>
            <w:tcW w:w="3173" w:type="dxa"/>
            <w:vAlign w:val="center"/>
          </w:tcPr>
          <w:p w14:paraId="3EB1C4F9" w14:textId="77777777" w:rsidR="007347C4" w:rsidRDefault="00000000">
            <w:pPr>
              <w:spacing w:after="0"/>
            </w:pPr>
            <w:r>
              <w:rPr>
                <w:sz w:val="19"/>
              </w:rPr>
              <w:t>每日净值</w:t>
            </w:r>
          </w:p>
        </w:tc>
        <w:tc>
          <w:tcPr>
            <w:tcW w:w="3173" w:type="dxa"/>
            <w:vAlign w:val="center"/>
          </w:tcPr>
          <w:p w14:paraId="44DE6258" w14:textId="77777777" w:rsidR="007347C4" w:rsidRDefault="00000000">
            <w:pPr>
              <w:spacing w:after="0"/>
            </w:pPr>
            <w:r>
              <w:rPr>
                <w:sz w:val="19"/>
              </w:rPr>
              <w:t>daily_nav</w:t>
            </w:r>
          </w:p>
        </w:tc>
        <w:tc>
          <w:tcPr>
            <w:tcW w:w="3173" w:type="dxa"/>
            <w:vAlign w:val="center"/>
          </w:tcPr>
          <w:p w14:paraId="226F944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保存成本前后收益、净值和基准净值</w:t>
            </w:r>
          </w:p>
        </w:tc>
      </w:tr>
      <w:tr w:rsidR="007347C4" w14:paraId="16048603" w14:textId="77777777">
        <w:trPr>
          <w:jc w:val="center"/>
        </w:trPr>
        <w:tc>
          <w:tcPr>
            <w:tcW w:w="3173" w:type="dxa"/>
            <w:vAlign w:val="center"/>
          </w:tcPr>
          <w:p w14:paraId="62ED5E08" w14:textId="77777777" w:rsidR="007347C4" w:rsidRDefault="00000000">
            <w:pPr>
              <w:spacing w:after="0"/>
            </w:pPr>
            <w:r>
              <w:rPr>
                <w:sz w:val="19"/>
              </w:rPr>
              <w:t>绩效结果</w:t>
            </w:r>
          </w:p>
        </w:tc>
        <w:tc>
          <w:tcPr>
            <w:tcW w:w="3173" w:type="dxa"/>
            <w:vAlign w:val="center"/>
          </w:tcPr>
          <w:p w14:paraId="473D4CAC" w14:textId="77777777" w:rsidR="007347C4" w:rsidRDefault="00000000">
            <w:pPr>
              <w:spacing w:after="0"/>
            </w:pPr>
            <w:r>
              <w:rPr>
                <w:sz w:val="19"/>
              </w:rPr>
              <w:t>performance_metrics</w:t>
            </w:r>
          </w:p>
        </w:tc>
        <w:tc>
          <w:tcPr>
            <w:tcW w:w="3173" w:type="dxa"/>
            <w:vAlign w:val="center"/>
          </w:tcPr>
          <w:p w14:paraId="15B32E5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保存每次运行的全部回测指标</w:t>
            </w:r>
          </w:p>
        </w:tc>
      </w:tr>
      <w:tr w:rsidR="007347C4" w14:paraId="454EE257" w14:textId="77777777">
        <w:trPr>
          <w:jc w:val="center"/>
        </w:trPr>
        <w:tc>
          <w:tcPr>
            <w:tcW w:w="3173" w:type="dxa"/>
            <w:vAlign w:val="center"/>
          </w:tcPr>
          <w:p w14:paraId="4695D77D" w14:textId="77777777" w:rsidR="007347C4" w:rsidRDefault="00000000">
            <w:pPr>
              <w:spacing w:after="0"/>
            </w:pPr>
            <w:r>
              <w:rPr>
                <w:sz w:val="19"/>
              </w:rPr>
              <w:t>数据质量日志</w:t>
            </w:r>
          </w:p>
        </w:tc>
        <w:tc>
          <w:tcPr>
            <w:tcW w:w="3173" w:type="dxa"/>
            <w:vAlign w:val="center"/>
          </w:tcPr>
          <w:p w14:paraId="7D78AB4D" w14:textId="77777777" w:rsidR="007347C4" w:rsidRDefault="00000000">
            <w:pPr>
              <w:spacing w:after="0"/>
            </w:pPr>
            <w:r>
              <w:rPr>
                <w:sz w:val="19"/>
              </w:rPr>
              <w:t>data_quality_logs</w:t>
            </w:r>
          </w:p>
        </w:tc>
        <w:tc>
          <w:tcPr>
            <w:tcW w:w="3173" w:type="dxa"/>
            <w:vAlign w:val="center"/>
          </w:tcPr>
          <w:p w14:paraId="1950A17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保存缺失、重复、异常及清洗处理记录</w:t>
            </w:r>
          </w:p>
        </w:tc>
      </w:tr>
    </w:tbl>
    <w:p w14:paraId="7E4DFF77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模块设计</w:t>
      </w:r>
    </w:p>
    <w:p w14:paraId="114E6C99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数据接入与清洗模块</w:t>
      </w:r>
    </w:p>
    <w:p w14:paraId="08A8E08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支持全量下载与增量更新。</w:t>
      </w:r>
    </w:p>
    <w:p w14:paraId="51B9942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原始数据先入库，再执行清洗和质量检查。</w:t>
      </w:r>
    </w:p>
    <w:p w14:paraId="5776379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检查重复日期、缺失值、OHLC 逻辑、负价格、负成交量和异常跳变。</w:t>
      </w:r>
    </w:p>
    <w:p w14:paraId="6D40AE3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记录数据来源、下载参数、数据版本和清洗版本。</w:t>
      </w:r>
    </w:p>
    <w:p w14:paraId="656883E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禁止使用未来数据回填历史缺口。</w:t>
      </w:r>
    </w:p>
    <w:p w14:paraId="7599A5A9" w14:textId="77777777" w:rsidR="007347C4" w:rsidRDefault="00000000">
      <w:pPr>
        <w:pStyle w:val="31"/>
      </w:pPr>
      <w:r>
        <w:t xml:space="preserve">14.2 </w:t>
      </w:r>
      <w:r>
        <w:t>因子注册与计算模块</w:t>
      </w:r>
    </w:p>
    <w:p w14:paraId="227535B0" w14:textId="77777777" w:rsidR="007347C4" w:rsidRDefault="00000000">
      <w:pPr>
        <w:pStyle w:val="a0"/>
        <w:ind w:left="397" w:hanging="142"/>
      </w:pPr>
      <w:r>
        <w:t>每个参数组合拥有唯一 factor_id，例如 momentum_20、momentum_60。</w:t>
      </w:r>
    </w:p>
    <w:p w14:paraId="05996CF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注册信息包括因子家族、公式说明、必需字段、参数、方向、暖机期和版本。</w:t>
      </w:r>
    </w:p>
    <w:p w14:paraId="69F70D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计算模块只生成因子值，不负责排名、仓位和绩效计算。</w:t>
      </w:r>
    </w:p>
    <w:p w14:paraId="45D7C23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新增因子时只需注册配置并实现统一接口，不修改回测主流程。</w:t>
      </w:r>
    </w:p>
    <w:p w14:paraId="0143742F" w14:textId="77777777" w:rsidR="007347C4" w:rsidRDefault="00000000">
      <w:pPr>
        <w:pStyle w:val="31"/>
      </w:pPr>
      <w:r>
        <w:lastRenderedPageBreak/>
        <w:t xml:space="preserve">14.3 </w:t>
      </w:r>
      <w:r>
        <w:t>信号与组合模块</w:t>
      </w:r>
    </w:p>
    <w:p w14:paraId="13CCD04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识别周频与月频信号日期和执行日期。</w:t>
      </w:r>
    </w:p>
    <w:p w14:paraId="335EAC74" w14:textId="77777777" w:rsidR="007347C4" w:rsidRDefault="00000000">
      <w:pPr>
        <w:pStyle w:val="a0"/>
        <w:ind w:left="397" w:hanging="142"/>
      </w:pPr>
      <w:r>
        <w:t>统一处理 higher_is_better 与 lower_is_better 的因子方向。</w:t>
      </w:r>
    </w:p>
    <w:p w14:paraId="520AA4C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执行横截面排名、Top 2 选择、200 日均线过滤和储备仓位分配。</w:t>
      </w:r>
    </w:p>
    <w:p w14:paraId="7D5F9B0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输出目标仓位，不负责模拟成交和计算收益。</w:t>
      </w:r>
    </w:p>
    <w:p w14:paraId="57CB36F4" w14:textId="77777777" w:rsidR="007347C4" w:rsidRDefault="00000000">
      <w:pPr>
        <w:pStyle w:val="31"/>
      </w:pPr>
      <w:r>
        <w:t xml:space="preserve">14.4 </w:t>
      </w:r>
      <w:r>
        <w:t>回测执行模块</w:t>
      </w:r>
    </w:p>
    <w:p w14:paraId="2A081F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使用信号日期后的下一实际交易日开盘价执行。</w:t>
      </w:r>
    </w:p>
    <w:p w14:paraId="14AF808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支持分数份额，不考虑做空和融资。</w:t>
      </w:r>
    </w:p>
    <w:p w14:paraId="2BE26AC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根据交易前实际权重与目标权重计算换手和交易成本。</w:t>
      </w:r>
    </w:p>
    <w:p w14:paraId="2826FC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逐日更新仓位、收益和净值，并记录交易明细。</w:t>
      </w:r>
    </w:p>
    <w:p w14:paraId="7AAFD5C3" w14:textId="77777777" w:rsidR="007347C4" w:rsidRDefault="00000000">
      <w:pPr>
        <w:pStyle w:val="31"/>
      </w:pPr>
      <w:r>
        <w:t xml:space="preserve">14.5 </w:t>
      </w:r>
      <w:r>
        <w:t>绩效指标模块</w:t>
      </w:r>
    </w:p>
    <w:p w14:paraId="46A8A20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统一计算研究设计第 9 节所列指标。</w:t>
      </w:r>
    </w:p>
    <w:p w14:paraId="4E5DFBF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同时生成策略、四 ETF 等权和 SPY 的可比较净值序列。</w:t>
      </w:r>
    </w:p>
    <w:p w14:paraId="0698A0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所有指标均明确频率、年化方法、无风险收益和成本口径。</w:t>
      </w:r>
    </w:p>
    <w:p w14:paraId="28542F4B" w14:textId="77777777" w:rsidR="007347C4" w:rsidRDefault="00000000">
      <w:pPr>
        <w:pStyle w:val="31"/>
      </w:pPr>
      <w:r>
        <w:t xml:space="preserve">14.6 API </w:t>
      </w:r>
      <w:r>
        <w:t>与前端模块</w:t>
      </w:r>
    </w:p>
    <w:p w14:paraId="40A7239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首页展示数据更新时间、系统版本、最近运行状态和因子排行榜。</w:t>
      </w:r>
    </w:p>
    <w:p w14:paraId="670C4AEA" w14:textId="77777777" w:rsidR="007347C4" w:rsidRDefault="00000000">
      <w:pPr>
        <w:pStyle w:val="a0"/>
        <w:ind w:left="397" w:hanging="142"/>
      </w:pPr>
      <w:r>
        <w:t>支持按 CAGR、Sharpe、最大回撤、Rank IC、超额收益和换手率排序。</w:t>
      </w:r>
    </w:p>
    <w:p w14:paraId="5DA2D9A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因子详情页展示定义、参数、净值、回撤、仓位、Rank IC、成本和基准对比。</w:t>
      </w:r>
    </w:p>
    <w:p w14:paraId="4B84FC6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对比页支持同因子不同参数、频率、策略模板和成本场景并排比较。</w:t>
      </w:r>
    </w:p>
    <w:p w14:paraId="47D3538E" w14:textId="77777777" w:rsidR="007347C4" w:rsidRDefault="00000000">
      <w:pPr>
        <w:pStyle w:val="21"/>
      </w:pPr>
      <w:r>
        <w:t xml:space="preserve">15. </w:t>
      </w:r>
      <w:r>
        <w:t>版本管理与可复现性</w:t>
      </w:r>
    </w:p>
    <w:p w14:paraId="11395684" w14:textId="77777777" w:rsidR="007347C4" w:rsidRDefault="00000000">
      <w:pPr>
        <w:pStyle w:val="a0"/>
        <w:ind w:left="397" w:hanging="142"/>
      </w:pPr>
      <w:r>
        <w:t>每次回测生成唯一 run_id。</w:t>
      </w:r>
    </w:p>
    <w:p w14:paraId="5FB8B6F4" w14:textId="77777777" w:rsidR="007347C4" w:rsidRDefault="00000000">
      <w:pPr>
        <w:pStyle w:val="a0"/>
        <w:ind w:left="397" w:hanging="142"/>
      </w:pPr>
      <w:r>
        <w:t>每个 run 至少保存 data_version、cleaning_version、factor_version、strategy_version、engine_version。</w:t>
      </w:r>
    </w:p>
    <w:p w14:paraId="4C4FA6E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完整保存资产池、因子参数、回测区间、共同起点、调仓频率、成本、策略模板和基准配置。</w:t>
      </w:r>
    </w:p>
    <w:p w14:paraId="26C2B3D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任何代码、数据、因子公式或参数变化均创建新运行，不覆盖旧结果。</w:t>
      </w:r>
    </w:p>
    <w:p w14:paraId="167A740F" w14:textId="77777777" w:rsidR="007347C4" w:rsidRDefault="00000000">
      <w:pPr>
        <w:pStyle w:val="a0"/>
        <w:ind w:left="397" w:hanging="142"/>
      </w:pPr>
      <w:r>
        <w:lastRenderedPageBreak/>
        <w:t>运行状态至少包括 pending、running、completed、failed；失败运行保留异常信息。</w:t>
      </w:r>
    </w:p>
    <w:p w14:paraId="72C33053" w14:textId="77777777" w:rsidR="007347C4" w:rsidRDefault="00000000">
      <w:pPr>
        <w:pStyle w:val="21"/>
      </w:pPr>
      <w:r>
        <w:t xml:space="preserve">16. </w:t>
      </w:r>
      <w:r>
        <w:t>首页排行榜与结果解释</w:t>
      </w:r>
    </w:p>
    <w:p w14:paraId="4521C7E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初期因子数量较少时，可展示全部候选信号并支持多列排序。</w:t>
      </w:r>
    </w:p>
    <w:p w14:paraId="3BFFBE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默认不设置唯一“最佳因子”，避免单一指标主导研究结论。</w:t>
      </w:r>
    </w:p>
    <w:p w14:paraId="5D4DEAD6" w14:textId="77777777" w:rsidR="007347C4" w:rsidRDefault="00000000">
      <w:pPr>
        <w:pStyle w:val="a0"/>
        <w:ind w:left="397" w:hanging="142"/>
      </w:pPr>
      <w:r>
        <w:t>建议首页默认展示：CAGR、Sharpe、最大回撤、Rank IC、相对四 ETF 等权超额收益、年化换手率。</w:t>
      </w:r>
    </w:p>
    <w:p w14:paraId="1136FD2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分别标记表现较强、表现较弱和异常结果；表现较差不代表反向后必然有效。</w:t>
      </w:r>
    </w:p>
    <w:p w14:paraId="059B23E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所有排名必须显示对应回测区间、调仓频率、策略模板、交易成本和运行版本。</w:t>
      </w:r>
    </w:p>
    <w:p w14:paraId="2BBD211F" w14:textId="77777777" w:rsidR="007347C4" w:rsidRDefault="00000000">
      <w:pPr>
        <w:pStyle w:val="21"/>
      </w:pPr>
      <w:r>
        <w:t xml:space="preserve">17. </w:t>
      </w:r>
      <w:r>
        <w:t>开发顺序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267E6BED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11AC71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1F923519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470BB07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主要交付物</w:t>
            </w:r>
          </w:p>
        </w:tc>
      </w:tr>
      <w:tr w:rsidR="007347C4" w14:paraId="7CDF7D39" w14:textId="77777777">
        <w:trPr>
          <w:jc w:val="center"/>
        </w:trPr>
        <w:tc>
          <w:tcPr>
            <w:tcW w:w="3173" w:type="dxa"/>
            <w:vAlign w:val="center"/>
          </w:tcPr>
          <w:p w14:paraId="5AFF25A2" w14:textId="77777777" w:rsidR="007347C4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173" w:type="dxa"/>
            <w:vAlign w:val="center"/>
          </w:tcPr>
          <w:p w14:paraId="09539D15" w14:textId="77777777" w:rsidR="007347C4" w:rsidRDefault="00000000">
            <w:pPr>
              <w:spacing w:after="0"/>
            </w:pPr>
            <w:r>
              <w:rPr>
                <w:sz w:val="19"/>
              </w:rPr>
              <w:t>数据库与数据层</w:t>
            </w:r>
          </w:p>
        </w:tc>
        <w:tc>
          <w:tcPr>
            <w:tcW w:w="3173" w:type="dxa"/>
            <w:vAlign w:val="center"/>
          </w:tcPr>
          <w:p w14:paraId="67BDF150" w14:textId="77777777" w:rsidR="007347C4" w:rsidRDefault="00000000">
            <w:pPr>
              <w:spacing w:after="0"/>
            </w:pPr>
            <w:r>
              <w:rPr>
                <w:sz w:val="19"/>
              </w:rPr>
              <w:t>表结构、迁移、yfinance/FRED 接入、原始数据入库、清洗与质量检查</w:t>
            </w:r>
          </w:p>
        </w:tc>
      </w:tr>
      <w:tr w:rsidR="007347C4" w14:paraId="4CA32A28" w14:textId="77777777">
        <w:trPr>
          <w:jc w:val="center"/>
        </w:trPr>
        <w:tc>
          <w:tcPr>
            <w:tcW w:w="3173" w:type="dxa"/>
            <w:vAlign w:val="center"/>
          </w:tcPr>
          <w:p w14:paraId="24D3FAE1" w14:textId="77777777" w:rsidR="007347C4" w:rsidRDefault="00000000">
            <w:pPr>
              <w:spacing w:after="0"/>
            </w:pPr>
            <w:r>
              <w:rPr>
                <w:sz w:val="19"/>
              </w:rPr>
              <w:t>阶段 2</w:t>
            </w:r>
          </w:p>
        </w:tc>
        <w:tc>
          <w:tcPr>
            <w:tcW w:w="3173" w:type="dxa"/>
            <w:vAlign w:val="center"/>
          </w:tcPr>
          <w:p w14:paraId="734C5749" w14:textId="77777777" w:rsidR="007347C4" w:rsidRDefault="00000000">
            <w:pPr>
              <w:spacing w:after="0"/>
            </w:pPr>
            <w:r>
              <w:rPr>
                <w:sz w:val="19"/>
              </w:rPr>
              <w:t>因子引擎</w:t>
            </w:r>
          </w:p>
        </w:tc>
        <w:tc>
          <w:tcPr>
            <w:tcW w:w="3173" w:type="dxa"/>
            <w:vAlign w:val="center"/>
          </w:tcPr>
          <w:p w14:paraId="52BD8BA5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因子注册表、统一计算接口、v0.1 因子实现、因子值入库和单元测试</w:t>
            </w:r>
          </w:p>
        </w:tc>
      </w:tr>
      <w:tr w:rsidR="007347C4" w14:paraId="5F0B971B" w14:textId="77777777">
        <w:trPr>
          <w:jc w:val="center"/>
        </w:trPr>
        <w:tc>
          <w:tcPr>
            <w:tcW w:w="3173" w:type="dxa"/>
            <w:vAlign w:val="center"/>
          </w:tcPr>
          <w:p w14:paraId="2A952BFB" w14:textId="77777777" w:rsidR="007347C4" w:rsidRDefault="00000000">
            <w:pPr>
              <w:spacing w:after="0"/>
            </w:pPr>
            <w:r>
              <w:rPr>
                <w:sz w:val="19"/>
              </w:rPr>
              <w:t>阶段 3</w:t>
            </w:r>
          </w:p>
        </w:tc>
        <w:tc>
          <w:tcPr>
            <w:tcW w:w="3173" w:type="dxa"/>
            <w:vAlign w:val="center"/>
          </w:tcPr>
          <w:p w14:paraId="37C501CB" w14:textId="77777777" w:rsidR="007347C4" w:rsidRDefault="00000000">
            <w:pPr>
              <w:spacing w:after="0"/>
            </w:pPr>
            <w:r>
              <w:rPr>
                <w:sz w:val="19"/>
              </w:rPr>
              <w:t>信号与组合</w:t>
            </w:r>
          </w:p>
        </w:tc>
        <w:tc>
          <w:tcPr>
            <w:tcW w:w="3173" w:type="dxa"/>
            <w:vAlign w:val="center"/>
          </w:tcPr>
          <w:p w14:paraId="1BE298C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调仓日识别、横截面排序、Top 2、200 日过滤、储备仓位和目标仓位入库</w:t>
            </w:r>
          </w:p>
        </w:tc>
      </w:tr>
      <w:tr w:rsidR="007347C4" w14:paraId="29326521" w14:textId="77777777">
        <w:trPr>
          <w:jc w:val="center"/>
        </w:trPr>
        <w:tc>
          <w:tcPr>
            <w:tcW w:w="3173" w:type="dxa"/>
            <w:vAlign w:val="center"/>
          </w:tcPr>
          <w:p w14:paraId="5AB0C2F8" w14:textId="77777777" w:rsidR="007347C4" w:rsidRDefault="00000000">
            <w:pPr>
              <w:spacing w:after="0"/>
            </w:pPr>
            <w:r>
              <w:rPr>
                <w:sz w:val="19"/>
              </w:rPr>
              <w:t>阶段 4</w:t>
            </w:r>
          </w:p>
        </w:tc>
        <w:tc>
          <w:tcPr>
            <w:tcW w:w="3173" w:type="dxa"/>
            <w:vAlign w:val="center"/>
          </w:tcPr>
          <w:p w14:paraId="4A348DF8" w14:textId="77777777" w:rsidR="007347C4" w:rsidRDefault="00000000">
            <w:pPr>
              <w:spacing w:after="0"/>
            </w:pPr>
            <w:r>
              <w:rPr>
                <w:sz w:val="19"/>
              </w:rPr>
              <w:t>回测引擎</w:t>
            </w:r>
          </w:p>
        </w:tc>
        <w:tc>
          <w:tcPr>
            <w:tcW w:w="3173" w:type="dxa"/>
            <w:vAlign w:val="center"/>
          </w:tcPr>
          <w:p w14:paraId="5D372FD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下一交易日开盘执行、换手、成本、仓位、交易和净值</w:t>
            </w:r>
          </w:p>
        </w:tc>
      </w:tr>
      <w:tr w:rsidR="007347C4" w14:paraId="55C925A3" w14:textId="77777777">
        <w:trPr>
          <w:jc w:val="center"/>
        </w:trPr>
        <w:tc>
          <w:tcPr>
            <w:tcW w:w="3173" w:type="dxa"/>
            <w:vAlign w:val="center"/>
          </w:tcPr>
          <w:p w14:paraId="0D5E74AA" w14:textId="77777777" w:rsidR="007347C4" w:rsidRDefault="00000000">
            <w:pPr>
              <w:spacing w:after="0"/>
            </w:pPr>
            <w:r>
              <w:rPr>
                <w:sz w:val="19"/>
              </w:rPr>
              <w:t>阶段 5</w:t>
            </w:r>
          </w:p>
        </w:tc>
        <w:tc>
          <w:tcPr>
            <w:tcW w:w="3173" w:type="dxa"/>
            <w:vAlign w:val="center"/>
          </w:tcPr>
          <w:p w14:paraId="7BAE50C8" w14:textId="77777777" w:rsidR="007347C4" w:rsidRDefault="00000000">
            <w:pPr>
              <w:spacing w:after="0"/>
            </w:pPr>
            <w:r>
              <w:rPr>
                <w:sz w:val="19"/>
              </w:rPr>
              <w:t>绩效引擎</w:t>
            </w:r>
          </w:p>
        </w:tc>
        <w:tc>
          <w:tcPr>
            <w:tcW w:w="3173" w:type="dxa"/>
            <w:vAlign w:val="center"/>
          </w:tcPr>
          <w:p w14:paraId="695DFD3E" w14:textId="77777777" w:rsidR="007347C4" w:rsidRDefault="00000000">
            <w:pPr>
              <w:spacing w:after="0"/>
            </w:pPr>
            <w:r>
              <w:rPr>
                <w:sz w:val="19"/>
              </w:rPr>
              <w:t>核心指标、基准、Rank IC、Top 2-Bottom 2 差值和结果入库</w:t>
            </w:r>
          </w:p>
        </w:tc>
      </w:tr>
      <w:tr w:rsidR="007347C4" w14:paraId="0389362F" w14:textId="77777777">
        <w:trPr>
          <w:jc w:val="center"/>
        </w:trPr>
        <w:tc>
          <w:tcPr>
            <w:tcW w:w="3173" w:type="dxa"/>
            <w:vAlign w:val="center"/>
          </w:tcPr>
          <w:p w14:paraId="20B5D08F" w14:textId="77777777" w:rsidR="007347C4" w:rsidRDefault="00000000">
            <w:pPr>
              <w:spacing w:after="0"/>
            </w:pPr>
            <w:r>
              <w:rPr>
                <w:sz w:val="19"/>
              </w:rPr>
              <w:t>阶段 6</w:t>
            </w:r>
          </w:p>
        </w:tc>
        <w:tc>
          <w:tcPr>
            <w:tcW w:w="3173" w:type="dxa"/>
            <w:vAlign w:val="center"/>
          </w:tcPr>
          <w:p w14:paraId="7A0EB877" w14:textId="77777777" w:rsidR="007347C4" w:rsidRDefault="00000000">
            <w:pPr>
              <w:spacing w:after="0"/>
            </w:pPr>
            <w:r>
              <w:rPr>
                <w:sz w:val="19"/>
              </w:rPr>
              <w:t>API 与前端</w:t>
            </w:r>
          </w:p>
        </w:tc>
        <w:tc>
          <w:tcPr>
            <w:tcW w:w="3173" w:type="dxa"/>
            <w:vAlign w:val="center"/>
          </w:tcPr>
          <w:p w14:paraId="21C7A81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首页排行榜、因子详情、回测对比、系统状态和错误提示</w:t>
            </w:r>
          </w:p>
        </w:tc>
      </w:tr>
    </w:tbl>
    <w:p w14:paraId="41F04DCA" w14:textId="77777777" w:rsidR="007347C4" w:rsidRDefault="00000000">
      <w:pPr>
        <w:pStyle w:val="21"/>
      </w:pPr>
      <w:r>
        <w:t xml:space="preserve">18. v0.1 </w:t>
      </w:r>
      <w:r>
        <w:t>验收标准</w:t>
      </w:r>
    </w:p>
    <w:p w14:paraId="3AE5185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可通过一条命令或统一任务完成数据更新、因子计算和批量回测。</w:t>
      </w:r>
    </w:p>
    <w:p w14:paraId="01E4D4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所有候选信号使用统一正式回测起点。</w:t>
      </w:r>
    </w:p>
    <w:p w14:paraId="42AA7A6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周频、月频以及两套策略模板均可独立运行。</w:t>
      </w:r>
    </w:p>
    <w:p w14:paraId="2126DD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2 / 5 / 10 bps 成本场景均可复现和比较。</w:t>
      </w:r>
    </w:p>
    <w:p w14:paraId="6AFDC9F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每次运行可通过 run_id 完整恢复配置、仓位、交易、净值和指标。</w:t>
      </w:r>
    </w:p>
    <w:p w14:paraId="253A3BE3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前端可按关键指标排序全部因子，并打开因子详情页。</w:t>
      </w:r>
    </w:p>
    <w:p w14:paraId="461832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四 ETF 等权与 SPY 基准使用一致的复权和执行口径。</w:t>
      </w:r>
    </w:p>
    <w:p w14:paraId="295B290D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历史运行不会因数据或代码更新被覆盖。</w:t>
      </w:r>
    </w:p>
    <w:p w14:paraId="2942940B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核心计算模块具有单元测试，完整流程具有集成测试。</w:t>
      </w:r>
    </w:p>
    <w:p w14:paraId="7A3625EF" w14:textId="77777777" w:rsidR="007347C4" w:rsidRDefault="00000000">
      <w:pPr>
        <w:pStyle w:val="21"/>
      </w:pPr>
      <w:r>
        <w:t xml:space="preserve">19. </w:t>
      </w:r>
      <w:r>
        <w:t>暂不纳入</w:t>
      </w:r>
      <w:r>
        <w:t xml:space="preserve"> v0.1 </w:t>
      </w:r>
      <w:r>
        <w:t>的功能</w:t>
      </w:r>
    </w:p>
    <w:p w14:paraId="0A5A4E0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机器学习自动选因子或优化权重。</w:t>
      </w:r>
    </w:p>
    <w:p w14:paraId="456FC39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基于第一轮结果自动筛选复合因子。</w:t>
      </w:r>
    </w:p>
    <w:p w14:paraId="6BAF9DB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宏观状态因子、新闻信号和产业轮动。</w:t>
      </w:r>
    </w:p>
    <w:p w14:paraId="4B43881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实时行情、自动实盘交易和订单管理。</w:t>
      </w:r>
    </w:p>
    <w:p w14:paraId="78C7F2B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Agent 或 LLM 参与正式因子计算、仓位决策和绩效计算。</w:t>
      </w:r>
    </w:p>
    <w:p w14:paraId="29B7C1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复杂组合优化器、做空、杠杆和衍生品。</w:t>
      </w:r>
    </w:p>
    <w:p>
      <w:r>
        <w:br w:type="page"/>
      </w:r>
    </w:p>
    <w:p>
      <w:pPr>
        <w:pStyle w:val="1"/>
      </w:pPr>
      <w:r>
        <w:t>开发前审查修订附录</w:t>
      </w:r>
    </w:p>
    <w:p>
      <w:r>
        <w:t>更新日期：2026-07-31</w:t>
      </w:r>
    </w:p>
    <w:p>
      <w:r>
        <w:t>本附录记录开发前审查后已确认的口径及仍待确认事项。若与正文存在冲突，在待确认事项完成决策后，以本附录的最终确认版本为准。原始设计文档保留不覆盖。</w:t>
      </w:r>
    </w:p>
    <w:p>
      <w:pPr>
        <w:pStyle w:val="21"/>
      </w:pPr>
      <w:r>
        <w:t>A. 已确认的核心口径</w:t>
      </w:r>
    </w:p>
    <w:p>
      <w:pPr>
        <w:pStyle w:val="a0"/>
      </w:pPr>
      <w:r>
        <w:t>v0.1 采用复权价格空间中的权重收益型回测，不实现真实分红现金、拆股份额或券商级现金账本。</w:t>
      </w:r>
    </w:p>
    <w:p>
      <w:pPr>
        <w:pStyle w:val="a0"/>
      </w:pPr>
      <w:r>
        <w:t>信号于周/月最后一个实际交易日收盘后生成，下一实际交易日复权开盘执行。</w:t>
      </w:r>
    </w:p>
    <w:p>
      <w:pPr>
        <w:pStyle w:val="a0"/>
      </w:pPr>
      <w:r>
        <w:t>全部正式候选因子共用一个正式信号起点；暖机数据从正式起点向前读取，且不计入正式绩效。</w:t>
      </w:r>
    </w:p>
    <w:p>
      <w:pPr>
        <w:pStyle w:val="a0"/>
      </w:pPr>
      <w:r>
        <w:t>实际起点在数据、最长窗口、200 日过滤器和下一日开盘均有效后尽可能取早；最晚可接受起点为 2026 年首个有效美国交易日。</w:t>
      </w:r>
    </w:p>
    <w:p>
      <w:pPr>
        <w:pStyle w:val="a0"/>
      </w:pPr>
      <w:r>
        <w:t>DGS3MO 只使用当时已发布的最近观测值并向前填充，按实际日历天数转换为储备收益；禁止向后填充。</w:t>
      </w:r>
    </w:p>
    <w:p>
      <w:pPr>
        <w:pStyle w:val="a0"/>
      </w:pPr>
      <w:r>
        <w:t>采用单边换手，初始建仓收费、期末不强制清仓；ETF 与储备仓位转换时不对现金腿重复收费。</w:t>
      </w:r>
    </w:p>
    <w:p>
      <w:pPr>
        <w:pStyle w:val="a0"/>
      </w:pPr>
      <w:r>
        <w:t>200 日均线包含信号日，严格使用复权收盘价大于均线；过滤后每只合格 ETF 固定 50%，剩余预算进入储备仓位。</w:t>
      </w:r>
    </w:p>
    <w:p>
      <w:pPr>
        <w:pStyle w:val="a0"/>
      </w:pPr>
      <w:r>
        <w:t>Rank IC 使用四只 ETF 的 Spearman 横截面相关；预测区间为当前执行日开盘至下一执行日开盘。</w:t>
      </w:r>
    </w:p>
    <w:p>
      <w:pPr>
        <w:pStyle w:val="a0"/>
      </w:pPr>
      <w:r>
        <w:t>PostgreSQL 为正式权威数据库；各层通过版本化数据契约连接，核心数学函数保持纯函数，数据库访问由 repository/service 边界负责。</w:t>
      </w:r>
    </w:p>
    <w:p>
      <w:pPr>
        <w:pStyle w:val="21"/>
      </w:pPr>
      <w:r>
        <w:t>B. 数据与版本补充要求</w:t>
      </w:r>
    </w:p>
    <w:p>
      <w:pPr>
        <w:pStyle w:val="a0"/>
      </w:pPr>
      <w:r>
        <w:t>原始层保留供应商原始 OHLCV、Adj Close、分红、拆股、请求参数、下载时间和内容哈希。</w:t>
      </w:r>
    </w:p>
    <w:p>
      <w:pPr>
        <w:pStyle w:val="a0"/>
      </w:pPr>
      <w:r>
        <w:t>清洗层显式保存原始价格、复权因子和复权 OHLC；成交量保存原始值。</w:t>
      </w:r>
    </w:p>
    <w:p>
      <w:pPr>
        <w:pStyle w:val="a0"/>
      </w:pPr>
      <w:r>
        <w:t>数据修订产生新的 data_version，不覆盖旧数据版本。</w:t>
      </w:r>
    </w:p>
    <w:p>
      <w:pPr>
        <w:pStyle w:val="a0"/>
      </w:pPr>
      <w:r>
        <w:t>每次实验使用 experiment_id 分组，每个参数组合使用独立 run_id；相同版本与规范化配置可通过 run_fingerprint 复用已完成结果。</w:t>
      </w:r>
    </w:p>
    <w:p>
      <w:pPr>
        <w:pStyle w:val="a0"/>
      </w:pPr>
      <w:r>
        <w:t>正式结果必须引用 data_version、cleaning_version、factor_version、strategy_version 和 engine_version。</w:t>
      </w:r>
    </w:p>
    <w:p>
      <w:pPr>
        <w:pStyle w:val="21"/>
      </w:pPr>
      <w:r>
        <w:t>C. 缺失值原则</w:t>
      </w:r>
    </w:p>
    <w:p>
      <w:r>
        <w:t>ETF 的价格、执行开盘价、调整因子和因子值不得使用前后平均、中位数、线性插值或向后填充。数据处理层必须在发布正式清洗数据集前完成完整性检查；关键字段缺失或质量不达标时，数据版本发布失败，系统在进入因子和回测层之前终止。修复数据或生成新数据版本后才允许重启实验。DGS3MO 是唯一允许按规则向前填充的数据。</w:t>
      </w:r>
    </w:p>
    <w:p>
      <w:pPr>
        <w:pStyle w:val="21"/>
      </w:pPr>
      <w:r>
        <w:t>D. 因子版本补充</w:t>
      </w:r>
    </w:p>
    <w:p>
      <w:r>
        <w:t>因子公式定义与参数实例分离：factor_definition_id 表示公式，factor_variant_id 表示具体参数。同一概念的不同合理计算方式可以注册为不同定义，但必须在实验开始前固定，不能根据回测表现追加或改写。</w:t>
      </w:r>
    </w:p>
    <w:p>
      <w:pPr>
        <w:pStyle w:val="21"/>
      </w:pPr>
      <w:r>
        <w:t>E. 最终确认结果</w:t>
      </w:r>
    </w:p>
    <w:p>
      <w:pPr>
        <w:pStyle w:val="a0"/>
      </w:pPr>
      <w:r>
        <w:t>数据质量门禁：关键 ETF 数据不完整时，数据层直接终止，不允许进入因子或回测层。</w:t>
      </w:r>
    </w:p>
    <w:p>
      <w:pPr>
        <w:pStyle w:val="a0"/>
      </w:pPr>
      <w:r>
        <w:t>四 ETF 主基准采用同频恢复等权的 B1 方案并承担相同成本；SPY 买入持有，仅承担初始建仓成本。</w:t>
      </w:r>
    </w:p>
    <w:p>
      <w:pPr>
        <w:pStyle w:val="a0"/>
      </w:pPr>
      <w:r>
        <w:t>候选因子公式与方向按实施计划第 6 节冻结；DGS3MO 固定采用 ACT/365 日历日计息。</w:t>
      </w:r>
    </w:p>
    <w:p>
      <w:pPr>
        <w:pStyle w:val="a0"/>
      </w:pPr>
      <w:r>
        <w:t>同一系统版本内的正式实验保留并通过 run_fingerprint 复用。系统版本升级前必须生成包含配置、结果、数据版本清单、代码与依赖哈希的可校验、可恢复归档；只有在归档校验和恢复演练成功后，才允许从活动 PostgreSQL 数据库清理旧版本实验。</w:t>
      </w:r>
    </w:p>
    <w:p>
      <w:pPr/>
      <w:r>
        <w:t>阶段 0 研究规范已完成冻结，允许按照本节顺序进入 v0.1 正式开发。</w:t>
      </w:r>
    </w:p>
    <w:p>
      <w:pPr>
        <w:pStyle w:val="21"/>
      </w:pPr>
      <w:r>
        <w:t>F. 修订后的开发顺序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阶段</w:t>
            </w:r>
          </w:p>
        </w:tc>
        <w:tc>
          <w:tcPr>
            <w:tcW w:type="dxa" w:w="2379"/>
          </w:tcPr>
          <w:p>
            <w:r>
              <w:t>产物</w:t>
            </w:r>
          </w:p>
        </w:tc>
        <w:tc>
          <w:tcPr>
            <w:tcW w:type="dxa" w:w="2379"/>
          </w:tcPr>
          <w:p>
            <w:r>
              <w:t>依赖</w:t>
            </w:r>
          </w:p>
        </w:tc>
        <w:tc>
          <w:tcPr>
            <w:tcW w:type="dxa" w:w="2379"/>
          </w:tcPr>
          <w:p>
            <w:r>
              <w:t>验收重点</w:t>
            </w:r>
          </w:p>
        </w:tc>
      </w:tr>
      <w:tr>
        <w:tc>
          <w:tcPr>
            <w:tcW w:type="dxa" w:w="2379"/>
          </w:tcPr>
          <w:p>
            <w:r>
              <w:t>0 研究规范冻结</w:t>
            </w:r>
          </w:p>
        </w:tc>
        <w:tc>
          <w:tcPr>
            <w:tcW w:type="dxa" w:w="2379"/>
          </w:tcPr>
          <w:p>
            <w:r>
              <w:t>公式、数据/成本/基准规则、黄金样例</w:t>
            </w:r>
          </w:p>
        </w:tc>
        <w:tc>
          <w:tcPr>
            <w:tcW w:type="dxa" w:w="2379"/>
          </w:tcPr>
          <w:p>
            <w:r>
              <w:t>完成 E 节决策</w:t>
            </w:r>
          </w:p>
        </w:tc>
        <w:tc>
          <w:tcPr>
            <w:tcW w:type="dxa" w:w="2379"/>
          </w:tcPr>
          <w:p>
            <w:r>
              <w:t>单周期可手工复算</w:t>
            </w:r>
          </w:p>
        </w:tc>
      </w:tr>
      <w:tr>
        <w:tc>
          <w:tcPr>
            <w:tcW w:type="dxa" w:w="2379"/>
          </w:tcPr>
          <w:p>
            <w:r>
              <w:t>1 项目与数据库</w:t>
            </w:r>
          </w:p>
        </w:tc>
        <w:tc>
          <w:tcPr>
            <w:tcW w:type="dxa" w:w="2379"/>
          </w:tcPr>
          <w:p>
            <w:r>
              <w:t>项目骨架、迁移、版本与运行模型</w:t>
            </w:r>
          </w:p>
        </w:tc>
        <w:tc>
          <w:tcPr>
            <w:tcW w:type="dxa" w:w="2379"/>
          </w:tcPr>
          <w:p>
            <w:r>
              <w:t>阶段 0</w:t>
            </w:r>
          </w:p>
        </w:tc>
        <w:tc>
          <w:tcPr>
            <w:tcW w:type="dxa" w:w="2379"/>
          </w:tcPr>
          <w:p>
            <w:r>
              <w:t>空库可重建，结果不可误覆盖</w:t>
            </w:r>
          </w:p>
        </w:tc>
      </w:tr>
      <w:tr>
        <w:tc>
          <w:tcPr>
            <w:tcW w:type="dxa" w:w="2379"/>
          </w:tcPr>
          <w:p>
            <w:r>
              <w:t>2 数据层</w:t>
            </w:r>
          </w:p>
        </w:tc>
        <w:tc>
          <w:tcPr>
            <w:tcW w:type="dxa" w:w="2379"/>
          </w:tcPr>
          <w:p>
            <w:r>
              <w:t>原始快照、清洗数据、DGS3MO、质量门禁</w:t>
            </w:r>
          </w:p>
        </w:tc>
        <w:tc>
          <w:tcPr>
            <w:tcW w:type="dxa" w:w="2379"/>
          </w:tcPr>
          <w:p>
            <w:r>
              <w:t>阶段 1</w:t>
            </w:r>
          </w:p>
        </w:tc>
        <w:tc>
          <w:tcPr>
            <w:tcW w:type="dxa" w:w="2379"/>
          </w:tcPr>
          <w:p>
            <w:r>
              <w:t>数据点可追溯，无未来填充</w:t>
            </w:r>
          </w:p>
        </w:tc>
      </w:tr>
      <w:tr>
        <w:tc>
          <w:tcPr>
            <w:tcW w:type="dxa" w:w="2379"/>
          </w:tcPr>
          <w:p>
            <w:r>
              <w:t>3 因子层</w:t>
            </w:r>
          </w:p>
        </w:tc>
        <w:tc>
          <w:tcPr>
            <w:tcW w:type="dxa" w:w="2379"/>
          </w:tcPr>
          <w:p>
            <w:r>
              <w:t>注册表、单因子、因子值</w:t>
            </w:r>
          </w:p>
        </w:tc>
        <w:tc>
          <w:tcPr>
            <w:tcW w:type="dxa" w:w="2379"/>
          </w:tcPr>
          <w:p>
            <w:r>
              <w:t>阶段 2</w:t>
            </w:r>
          </w:p>
        </w:tc>
        <w:tc>
          <w:tcPr>
            <w:tcW w:type="dxa" w:w="2379"/>
          </w:tcPr>
          <w:p>
            <w:r>
              <w:t>全部公式通过黄金测试</w:t>
            </w:r>
          </w:p>
        </w:tc>
      </w:tr>
      <w:tr>
        <w:tc>
          <w:tcPr>
            <w:tcW w:type="dxa" w:w="2379"/>
          </w:tcPr>
          <w:p>
            <w:r>
              <w:t>4 信号组合层</w:t>
            </w:r>
          </w:p>
        </w:tc>
        <w:tc>
          <w:tcPr>
            <w:tcW w:type="dxa" w:w="2379"/>
          </w:tcPr>
          <w:p>
            <w:r>
              <w:t>日历、Top 2、趋势过滤、目标权重</w:t>
            </w:r>
          </w:p>
        </w:tc>
        <w:tc>
          <w:tcPr>
            <w:tcW w:type="dxa" w:w="2379"/>
          </w:tcPr>
          <w:p>
            <w:r>
              <w:t>阶段 3</w:t>
            </w:r>
          </w:p>
        </w:tc>
        <w:tc>
          <w:tcPr>
            <w:tcW w:type="dxa" w:w="2379"/>
          </w:tcPr>
          <w:p>
            <w:r>
              <w:t>无同日成交，权重规则正确</w:t>
            </w:r>
          </w:p>
        </w:tc>
      </w:tr>
      <w:tr>
        <w:tc>
          <w:tcPr>
            <w:tcW w:type="dxa" w:w="2379"/>
          </w:tcPr>
          <w:p>
            <w:r>
              <w:t>5 回测基准层</w:t>
            </w:r>
          </w:p>
        </w:tc>
        <w:tc>
          <w:tcPr>
            <w:tcW w:type="dxa" w:w="2379"/>
          </w:tcPr>
          <w:p>
            <w:r>
              <w:t>成交、漂移权重、成本、净值、基准</w:t>
            </w:r>
          </w:p>
        </w:tc>
        <w:tc>
          <w:tcPr>
            <w:tcW w:type="dxa" w:w="2379"/>
          </w:tcPr>
          <w:p>
            <w:r>
              <w:t>阶段 4</w:t>
            </w:r>
          </w:p>
        </w:tc>
        <w:tc>
          <w:tcPr>
            <w:tcW w:type="dxa" w:w="2379"/>
          </w:tcPr>
          <w:p>
            <w:r>
              <w:t>逐日对账，gross/net 可追溯</w:t>
            </w:r>
          </w:p>
        </w:tc>
      </w:tr>
      <w:tr>
        <w:tc>
          <w:tcPr>
            <w:tcW w:type="dxa" w:w="2379"/>
          </w:tcPr>
          <w:p>
            <w:r>
              <w:t>6 指标层</w:t>
            </w:r>
          </w:p>
        </w:tc>
        <w:tc>
          <w:tcPr>
            <w:tcW w:type="dxa" w:w="2379"/>
          </w:tcPr>
          <w:p>
            <w:r>
              <w:t>IC、Top-Bottom、收益风险与相对指标</w:t>
            </w:r>
          </w:p>
        </w:tc>
        <w:tc>
          <w:tcPr>
            <w:tcW w:type="dxa" w:w="2379"/>
          </w:tcPr>
          <w:p>
            <w:r>
              <w:t>阶段 5</w:t>
            </w:r>
          </w:p>
        </w:tc>
        <w:tc>
          <w:tcPr>
            <w:tcW w:type="dxa" w:w="2379"/>
          </w:tcPr>
          <w:p>
            <w:r>
              <w:t>与独立手算一致</w:t>
            </w:r>
          </w:p>
        </w:tc>
      </w:tr>
      <w:tr>
        <w:tc>
          <w:tcPr>
            <w:tcW w:type="dxa" w:w="2379"/>
          </w:tcPr>
          <w:p>
            <w:r>
              <w:t>7 API 与前端</w:t>
            </w:r>
          </w:p>
        </w:tc>
        <w:tc>
          <w:tcPr>
            <w:tcW w:type="dxa" w:w="2379"/>
          </w:tcPr>
          <w:p>
            <w:r>
              <w:t>排行榜、详情、对比和异常状态</w:t>
            </w:r>
          </w:p>
        </w:tc>
        <w:tc>
          <w:tcPr>
            <w:tcW w:type="dxa" w:w="2379"/>
          </w:tcPr>
          <w:p>
            <w:r>
              <w:t>阶段 6</w:t>
            </w:r>
          </w:p>
        </w:tc>
        <w:tc>
          <w:tcPr>
            <w:tcW w:type="dxa" w:w="2379"/>
          </w:tcPr>
          <w:p>
            <w:r>
              <w:t>只读正式结果，条件完整展示</w:t>
            </w:r>
          </w:p>
        </w:tc>
      </w:tr>
    </w:tbl>
    <w:sectPr w:rsidR="007347C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69B6" w14:textId="77777777" w:rsidR="00AF622B" w:rsidRDefault="00AF622B">
      <w:pPr>
        <w:spacing w:after="0" w:line="240" w:lineRule="auto"/>
      </w:pPr>
      <w:r>
        <w:separator/>
      </w:r>
    </w:p>
  </w:endnote>
  <w:endnote w:type="continuationSeparator" w:id="0">
    <w:p w14:paraId="605F059D" w14:textId="77777777" w:rsidR="00AF622B" w:rsidRDefault="00A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CB63" w14:textId="77777777" w:rsidR="007347C4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风格轮动因子筛选系统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9C83" w14:textId="77777777" w:rsidR="00AF622B" w:rsidRDefault="00AF622B">
      <w:pPr>
        <w:spacing w:after="0" w:line="240" w:lineRule="auto"/>
      </w:pPr>
      <w:r>
        <w:separator/>
      </w:r>
    </w:p>
  </w:footnote>
  <w:footnote w:type="continuationSeparator" w:id="0">
    <w:p w14:paraId="391DA73F" w14:textId="77777777" w:rsidR="00AF622B" w:rsidRDefault="00AF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151791">
    <w:abstractNumId w:val="8"/>
  </w:num>
  <w:num w:numId="2" w16cid:durableId="1098141609">
    <w:abstractNumId w:val="6"/>
  </w:num>
  <w:num w:numId="3" w16cid:durableId="1229532749">
    <w:abstractNumId w:val="5"/>
  </w:num>
  <w:num w:numId="4" w16cid:durableId="414479438">
    <w:abstractNumId w:val="4"/>
  </w:num>
  <w:num w:numId="5" w16cid:durableId="81070126">
    <w:abstractNumId w:val="7"/>
  </w:num>
  <w:num w:numId="6" w16cid:durableId="1631353305">
    <w:abstractNumId w:val="3"/>
  </w:num>
  <w:num w:numId="7" w16cid:durableId="222521774">
    <w:abstractNumId w:val="2"/>
  </w:num>
  <w:num w:numId="8" w16cid:durableId="1265961236">
    <w:abstractNumId w:val="1"/>
  </w:num>
  <w:num w:numId="9" w16cid:durableId="4230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30"/>
    <w:rsid w:val="007347C4"/>
    <w:rsid w:val="00AA1D8D"/>
    <w:rsid w:val="00AF622B"/>
    <w:rsid w:val="00B47730"/>
    <w:rsid w:val="00CA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94ED"/>
  <w14:defaultImageDpi w14:val="300"/>
  <w15:docId w15:val="{C6457A36-5165-4B64-84B2-62ED3A4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说明"/>
    <w:pPr>
      <w:spacing w:after="120"/>
      <w:ind w:left="340"/>
    </w:pPr>
    <w:rPr>
      <w:rFonts w:ascii="微软雅黑" w:eastAsia="微软雅黑" w:hAnsi="微软雅黑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2300</Words>
  <Characters>2852</Characters>
  <Application>Microsoft Office Word</Application>
  <DocSecurity>0</DocSecurity>
  <Lines>178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天祺 陆</cp:lastModifiedBy>
  <cp:revision>3</cp:revision>
  <dcterms:created xsi:type="dcterms:W3CDTF">2013-12-23T23:15:00Z</dcterms:created>
  <dcterms:modified xsi:type="dcterms:W3CDTF">2026-07-31T10:22:00Z</dcterms:modified>
  <cp:category/>
</cp:coreProperties>
</file>