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3A8A"/>
          <w:sz w:val="48"/>
        </w:rPr>
        <w:t>Operational Support Model</w:t>
      </w:r>
    </w:p>
    <w:p>
      <w:pPr>
        <w:spacing w:after="280"/>
      </w:pPr>
      <w:r>
        <w:rPr>
          <w:color w:val="475569"/>
          <w:sz w:val="26"/>
        </w:rPr>
        <w:t>On-Premises Kubernetes (Atlas) &amp; Enterprise Platform Ecosystem</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40" w:after="40"/>
            </w:pPr>
            <w:r>
              <w:rPr>
                <w:b/>
                <w:color w:val="1E3A8A"/>
                <w:sz w:val="19"/>
              </w:rPr>
              <w:t xml:space="preserve">Platform Scope: </w:t>
            </w:r>
            <w:r>
              <w:rPr>
                <w:sz w:val="19"/>
              </w:rPr>
              <w:t>On-Premises Kubernetes (Atlas / VMware Tanzu), AWS EKS, GitLab Ultimate, JFrog Artifactory, Argo CD, PostgreSQL Services</w:t>
              <w:br/>
            </w:r>
            <w:r>
              <w:rPr>
                <w:b/>
                <w:color w:val="1E3A8A"/>
                <w:sz w:val="19"/>
              </w:rPr>
              <w:t xml:space="preserve">System of Record: </w:t>
            </w:r>
            <w:r>
              <w:rPr>
                <w:sz w:val="19"/>
              </w:rPr>
              <w:t>ServiceNow (Authoritative for Incidents, Problems, Changes, and Knowledge Management)</w:t>
            </w:r>
          </w:p>
        </w:tc>
      </w:tr>
    </w:tbl>
    <w:p>
      <w:pPr>
        <w:spacing w:after="160"/>
      </w:pPr>
    </w:p>
    <w:p>
      <w:pPr>
        <w:keepNext/>
        <w:spacing w:before="320" w:after="120"/>
      </w:pPr>
      <w:r>
        <w:rPr>
          <w:rFonts w:ascii="Calibri" w:hAnsi="Calibri"/>
          <w:b/>
          <w:color w:val="1E3A8A"/>
          <w:sz w:val="28"/>
        </w:rPr>
        <w:t>1. Introduction &amp; Platform Scope</w:t>
      </w:r>
    </w:p>
    <w:p>
      <w:pPr>
        <w:spacing w:after="120"/>
      </w:pPr>
      <w:r>
        <w:t>This document codifies the official Operational Support Model for the On-Premises Kubernetes (Atlas / VMware Tanzu) platform and its core integrated ecosystem, including Argo CD, GitLab Ultimate (SCM), JFrog Artifactory, AWS EKS, and associated PostgreSQL database services.</w:t>
      </w:r>
    </w:p>
    <w:p>
      <w:pPr>
        <w:spacing w:after="200"/>
      </w:pPr>
      <w:r>
        <w:t>The model defines technical and management responsibilities across three support tiers (L1–L3), formalizing escalation workflows, governance cycles, and vendor engagement. To maintain compliance, single-source auditability, and operational integrity, ServiceNow is designated as the enterprise authoritative repository for all incident, problem, and change records.</w:t>
      </w:r>
    </w:p>
    <w:p>
      <w:pPr>
        <w:keepNext/>
        <w:spacing w:before="320" w:after="120"/>
      </w:pPr>
      <w:r>
        <w:rPr>
          <w:rFonts w:ascii="Calibri" w:hAnsi="Calibri"/>
          <w:b/>
          <w:color w:val="1E3A8A"/>
          <w:sz w:val="28"/>
        </w:rPr>
        <w:t>2. Strategic Objectives</w:t>
      </w:r>
    </w:p>
    <w:p>
      <w:pPr>
        <w:pStyle w:val="ListBullet"/>
        <w:spacing w:after="60"/>
      </w:pPr>
      <w:r>
        <w:rPr>
          <w:b/>
          <w:color w:val="1E3A8A"/>
        </w:rPr>
        <w:t xml:space="preserve">Enterprise Platform Availability: </w:t>
      </w:r>
      <w:r>
        <w:t>Achieve and sustain &gt;= 99.9% operational availability across on-premises Atlas clusters, cloud extensions (AWS EKS), and foundational CI/CD toolchains.</w:t>
      </w:r>
    </w:p>
    <w:p>
      <w:pPr>
        <w:pStyle w:val="ListBullet"/>
        <w:spacing w:after="60"/>
      </w:pPr>
      <w:r>
        <w:rPr>
          <w:b/>
          <w:color w:val="1E3A8A"/>
        </w:rPr>
        <w:t xml:space="preserve">Standardized Audit &amp; Change Governance: </w:t>
      </w:r>
      <w:r>
        <w:t>Institutionalize ServiceNow as the single immutable record of truth for incidents, emergency fixes (eCR), and problem tickets to meet regulatory and compliance mandates.</w:t>
      </w:r>
    </w:p>
    <w:p>
      <w:pPr>
        <w:pStyle w:val="ListBullet"/>
        <w:spacing w:after="60"/>
      </w:pPr>
      <w:r>
        <w:rPr>
          <w:b/>
          <w:color w:val="1E3A8A"/>
        </w:rPr>
        <w:t xml:space="preserve">Shift-Left Enablement &amp; L1 Runbooks: </w:t>
      </w:r>
      <w:r>
        <w:t>Empower Level 1 (L1) support via diagnostic checklists and runbook automation, targeting &gt;= 30% first-contact resolution for common operational anomalies.</w:t>
      </w:r>
    </w:p>
    <w:p>
      <w:pPr>
        <w:pStyle w:val="ListBullet"/>
        <w:spacing w:after="60"/>
      </w:pPr>
      <w:r>
        <w:rPr>
          <w:b/>
          <w:color w:val="1E3A8A"/>
        </w:rPr>
        <w:t xml:space="preserve">Predictable Multi-Tier Escalation: </w:t>
      </w:r>
      <w:r>
        <w:t>Minimize Mean Time to Acknowledge (MTTA) and Mean Time to Repair (MTTR) through deterministic thresholds, standardized War Room protocols, and transparent communications.</w:t>
      </w:r>
    </w:p>
    <w:p>
      <w:pPr>
        <w:pStyle w:val="ListBullet"/>
        <w:spacing w:after="60"/>
      </w:pPr>
      <w:r>
        <w:rPr>
          <w:b/>
          <w:color w:val="1E3A8A"/>
        </w:rPr>
        <w:t xml:space="preserve">Continuous Reliability Engineering: </w:t>
      </w:r>
      <w:r>
        <w:t>Drive systemic risk reduction through closed-loop Root Cause Analysis (RCA), converting post-incident findings into platform backlog hardening and automated monitoring.</w:t>
      </w:r>
    </w:p>
    <w:p>
      <w:pPr>
        <w:keepNext/>
        <w:spacing w:before="320" w:after="120"/>
      </w:pPr>
      <w:r>
        <w:rPr>
          <w:rFonts w:ascii="Calibri" w:hAnsi="Calibri"/>
          <w:b/>
          <w:color w:val="1E3A8A"/>
          <w:sz w:val="28"/>
        </w:rPr>
        <w:t>3. Support Tier Framework (L1, L2, L3)</w:t>
      </w:r>
    </w:p>
    <w:p>
      <w:pPr>
        <w:keepNext/>
        <w:spacing w:before="240" w:after="80"/>
      </w:pPr>
      <w:r>
        <w:rPr>
          <w:rFonts w:ascii="Calibri" w:hAnsi="Calibri"/>
          <w:b/>
          <w:color w:val="0F766E"/>
          <w:sz w:val="24"/>
        </w:rPr>
        <w:t>3.1 Level 1 (L1) — Global IT Support (First Line)</w:t>
      </w:r>
    </w:p>
    <w:p>
      <w:pPr>
        <w:spacing w:after="80"/>
      </w:pPr>
      <w:r>
        <w:t>L1 functions as the frontline service desk for all platform-related incidents and service requests across the entire ecosystem. L1 verifies alerts, conducts initial troubleshooting against documented runbooks, and enriches incident records with diagnostic telemetry.</w:t>
      </w:r>
    </w:p>
    <w:p>
      <w:pPr>
        <w:pStyle w:val="ListBullet"/>
        <w:spacing w:after="40"/>
      </w:pPr>
      <w:r>
        <w:t>Acknowledge and log incidents in ServiceNow within committed Response SLAs.</w:t>
      </w:r>
    </w:p>
    <w:p>
      <w:pPr>
        <w:pStyle w:val="ListBullet"/>
        <w:spacing w:after="40"/>
      </w:pPr>
      <w:r>
        <w:t>Validate incoming issues, eliminate false positives, and enrich tickets with logs, timestamps, and cluster health screenshots.</w:t>
      </w:r>
    </w:p>
    <w:p>
      <w:pPr>
        <w:pStyle w:val="ListBullet"/>
        <w:spacing w:after="40"/>
      </w:pPr>
      <w:r>
        <w:t>Execute documented L1 procedures (node/pod status checks, monitoring validations) and apply known workarounds, referencing specific KB article IDs.</w:t>
      </w:r>
    </w:p>
    <w:p>
      <w:pPr>
        <w:pStyle w:val="ListBullet"/>
        <w:spacing w:after="40"/>
      </w:pPr>
      <w:r>
        <w:t>Escalation Criteria to L2: Remediation requires elevated credentials outside L1 authority (e.g., cluster-admin / kubeadm), resolution exceeds L1 time limits, or the incident causes a customer-facing production outage.</w:t>
      </w:r>
    </w:p>
    <w:p>
      <w:pPr>
        <w:keepNext/>
        <w:spacing w:before="240" w:after="80"/>
      </w:pPr>
      <w:r>
        <w:rPr>
          <w:rFonts w:ascii="Calibri" w:hAnsi="Calibri"/>
          <w:b/>
          <w:color w:val="0F766E"/>
          <w:sz w:val="24"/>
        </w:rPr>
        <w:t>3.2 Level 2 (L2) — Team Leads &amp; Platform Engineers</w:t>
      </w:r>
    </w:p>
    <w:p>
      <w:pPr>
        <w:spacing w:after="80"/>
      </w:pPr>
      <w:r>
        <w:t>L2 engineers are subject matter experts (SMEs) across cluster operations, container networking (CNI), persistent storage (CSI), CI/CD pipelines, and database interactions.</w:t>
      </w:r>
    </w:p>
    <w:p>
      <w:pPr>
        <w:pStyle w:val="ListBullet"/>
        <w:spacing w:after="40"/>
      </w:pPr>
      <w:r>
        <w:t>Perform deep diagnostics (kubelet/API logs, CNI network traces, storage controller status, pipeline graph behavior).</w:t>
      </w:r>
    </w:p>
    <w:p>
      <w:pPr>
        <w:pStyle w:val="ListBullet"/>
        <w:spacing w:after="40"/>
      </w:pPr>
      <w:r>
        <w:t>Execute safe operational mitigations (node cordoning/draining, pod restarts, replica scaling, temporary traffic reroutes).</w:t>
      </w:r>
    </w:p>
    <w:p>
      <w:pPr>
        <w:pStyle w:val="ListBullet"/>
        <w:spacing w:after="40"/>
      </w:pPr>
      <w:r>
        <w:t>Coordinate cross-functional actions across Database, Network, and CI/CD teams.</w:t>
      </w:r>
    </w:p>
    <w:p>
      <w:pPr>
        <w:pStyle w:val="ListBullet"/>
        <w:spacing w:after="40"/>
      </w:pPr>
      <w:r>
        <w:t>Escalation Criteria to L3: Remediation requires code-level changes, platform component patching, persistent architectural defects, or third-party vendor engineering escalation.</w:t>
      </w:r>
    </w:p>
    <w:p>
      <w:pPr>
        <w:keepNext/>
        <w:spacing w:before="240" w:after="80"/>
      </w:pPr>
      <w:r>
        <w:rPr>
          <w:rFonts w:ascii="Calibri" w:hAnsi="Calibri"/>
          <w:b/>
          <w:color w:val="0F766E"/>
          <w:sz w:val="24"/>
        </w:rPr>
        <w:t>3.3 Level 3 (L3) — Platform Evangelists &amp; Principal Engineers</w:t>
      </w:r>
    </w:p>
    <w:p>
      <w:pPr>
        <w:spacing w:after="80"/>
      </w:pPr>
      <w:r>
        <w:t>L3 provides deep operational engineering expertise, architectural liaison, vendor alignment, and permanent problem resolution.</w:t>
      </w:r>
    </w:p>
    <w:p>
      <w:pPr>
        <w:pStyle w:val="ListBullet"/>
        <w:spacing w:after="40"/>
      </w:pPr>
      <w:r>
        <w:t>Lead Root Cause Analysis (RCA) investigations for critical (P1/P2) and recurring problem tickets.</w:t>
      </w:r>
    </w:p>
    <w:p>
      <w:pPr>
        <w:pStyle w:val="ListBullet"/>
        <w:spacing w:after="40"/>
      </w:pPr>
      <w:r>
        <w:t>Develop, test, and validate permanent code fixes, platform patches, and infrastructure automations.</w:t>
      </w:r>
    </w:p>
    <w:p>
      <w:pPr>
        <w:pStyle w:val="ListBullet"/>
        <w:spacing w:after="40"/>
      </w:pPr>
      <w:r>
        <w:t>Author, validate, and evolve operational playbooks and architecture guidelines.</w:t>
      </w:r>
    </w:p>
    <w:p>
      <w:pPr>
        <w:pStyle w:val="ListBullet"/>
        <w:spacing w:after="40"/>
      </w:pPr>
      <w:r>
        <w:t>Act as primary technical interface for vendor deep-tier engineering escalations.</w:t>
      </w:r>
    </w:p>
    <w:p>
      <w:pPr>
        <w:keepNext/>
        <w:spacing w:before="320" w:after="120"/>
      </w:pPr>
      <w:r>
        <w:rPr>
          <w:rFonts w:ascii="Calibri" w:hAnsi="Calibri"/>
          <w:b/>
          <w:color w:val="1E3A8A"/>
          <w:sz w:val="28"/>
        </w:rPr>
        <w:t>4. Governance &amp; Stakeholder Authority Matrix</w:t>
      </w:r>
    </w:p>
    <w:p>
      <w:pPr>
        <w:spacing w:after="120"/>
      </w:pPr>
      <w:r>
        <w:t>This matrix codifies named roles, operational responsibilities, involvement levels, and explicit decision-making authority:</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728"/>
            <w:tcMar>
              <w:top w:w="120" w:type="dxa"/>
              <w:bottom w:w="120" w:type="dxa"/>
              <w:left w:w="150" w:type="dxa"/>
              <w:right w:w="150" w:type="dxa"/>
            </w:tcMar>
            <w:shd w:fill="1E3A8A"/>
          </w:tcPr>
          <w:p>
            <w:pPr>
              <w:spacing w:before="40" w:after="40"/>
            </w:pPr>
            <w:r>
              <w:rPr>
                <w:rFonts w:ascii="Calibri" w:hAnsi="Calibri"/>
                <w:b/>
                <w:color w:val="FFFFFF"/>
                <w:sz w:val="19"/>
              </w:rPr>
              <w:t>Role</w:t>
            </w:r>
          </w:p>
        </w:tc>
        <w:tc>
          <w:tcPr>
            <w:tcW w:type="dxa" w:w="1728"/>
            <w:tcMar>
              <w:top w:w="120" w:type="dxa"/>
              <w:bottom w:w="120" w:type="dxa"/>
              <w:left w:w="150" w:type="dxa"/>
              <w:right w:w="150" w:type="dxa"/>
            </w:tcMar>
            <w:shd w:fill="1E3A8A"/>
          </w:tcPr>
          <w:p>
            <w:pPr>
              <w:spacing w:before="40" w:after="40"/>
            </w:pPr>
            <w:r>
              <w:rPr>
                <w:rFonts w:ascii="Calibri" w:hAnsi="Calibri"/>
                <w:b/>
                <w:color w:val="FFFFFF"/>
                <w:sz w:val="19"/>
              </w:rPr>
              <w:t>Named Role / Group</w:t>
            </w:r>
          </w:p>
        </w:tc>
        <w:tc>
          <w:tcPr>
            <w:tcW w:type="dxa" w:w="2304"/>
            <w:tcMar>
              <w:top w:w="120" w:type="dxa"/>
              <w:bottom w:w="120" w:type="dxa"/>
              <w:left w:w="150" w:type="dxa"/>
              <w:right w:w="150" w:type="dxa"/>
            </w:tcMar>
            <w:shd w:fill="1E3A8A"/>
          </w:tcPr>
          <w:p>
            <w:pPr>
              <w:spacing w:before="40" w:after="40"/>
            </w:pPr>
            <w:r>
              <w:rPr>
                <w:rFonts w:ascii="Calibri" w:hAnsi="Calibri"/>
                <w:b/>
                <w:color w:val="FFFFFF"/>
                <w:sz w:val="19"/>
              </w:rPr>
              <w:t>Primary Responsibilities</w:t>
            </w:r>
          </w:p>
        </w:tc>
        <w:tc>
          <w:tcPr>
            <w:tcW w:type="dxa" w:w="1584"/>
            <w:tcMar>
              <w:top w:w="120" w:type="dxa"/>
              <w:bottom w:w="120" w:type="dxa"/>
              <w:left w:w="150" w:type="dxa"/>
              <w:right w:w="150" w:type="dxa"/>
            </w:tcMar>
            <w:shd w:fill="1E3A8A"/>
          </w:tcPr>
          <w:p>
            <w:pPr>
              <w:spacing w:before="40" w:after="40"/>
            </w:pPr>
            <w:r>
              <w:rPr>
                <w:rFonts w:ascii="Calibri" w:hAnsi="Calibri"/>
                <w:b/>
                <w:color w:val="FFFFFF"/>
                <w:sz w:val="19"/>
              </w:rPr>
              <w:t>Involvement Level</w:t>
            </w:r>
          </w:p>
        </w:tc>
        <w:tc>
          <w:tcPr>
            <w:tcW w:type="dxa" w:w="2016"/>
            <w:tcMar>
              <w:top w:w="120" w:type="dxa"/>
              <w:bottom w:w="120" w:type="dxa"/>
              <w:left w:w="150" w:type="dxa"/>
              <w:right w:w="150" w:type="dxa"/>
            </w:tcMar>
            <w:shd w:fill="1E3A8A"/>
          </w:tcPr>
          <w:p>
            <w:pPr>
              <w:spacing w:before="40" w:after="40"/>
            </w:pPr>
            <w:r>
              <w:rPr>
                <w:rFonts w:ascii="Calibri" w:hAnsi="Calibri"/>
                <w:b/>
                <w:color w:val="FFFFFF"/>
                <w:sz w:val="19"/>
              </w:rPr>
              <w:t>Escalation Authority &amp; Decision Scope</w:t>
            </w:r>
          </w:p>
        </w:tc>
      </w:tr>
      <w:tr>
        <w:trPr>
          <w:cantSplit/>
        </w:trPr>
        <w:tc>
          <w:tcPr>
            <w:tcW w:type="dxa" w:w="1728"/>
            <w:tcMar>
              <w:top w:w="120" w:type="dxa"/>
              <w:bottom w:w="120" w:type="dxa"/>
              <w:left w:w="150" w:type="dxa"/>
              <w:right w:w="150" w:type="dxa"/>
            </w:tcMar>
            <w:shd w:fill="F8FAFC"/>
          </w:tcPr>
          <w:p>
            <w:pPr>
              <w:spacing w:before="40" w:after="40"/>
            </w:pPr>
            <w:r>
              <w:rPr>
                <w:rFonts w:ascii="Calibri" w:hAnsi="Calibri"/>
                <w:color w:val="1E293B"/>
                <w:sz w:val="18"/>
              </w:rPr>
              <w:t>Support / Operations Manager</w:t>
            </w:r>
          </w:p>
        </w:tc>
        <w:tc>
          <w:tcPr>
            <w:tcW w:type="dxa" w:w="1728"/>
            <w:tcMar>
              <w:top w:w="120" w:type="dxa"/>
              <w:bottom w:w="120" w:type="dxa"/>
              <w:left w:w="150" w:type="dxa"/>
              <w:right w:w="150" w:type="dxa"/>
            </w:tcMar>
            <w:shd w:fill="F8FAFC"/>
          </w:tcPr>
          <w:p>
            <w:pPr>
              <w:spacing w:before="40" w:after="40"/>
            </w:pPr>
            <w:r>
              <w:rPr>
                <w:rFonts w:ascii="Calibri" w:hAnsi="Calibri"/>
                <w:color w:val="1E293B"/>
                <w:sz w:val="18"/>
              </w:rPr>
              <w:t>Platform Operations Lead</w:t>
            </w:r>
          </w:p>
        </w:tc>
        <w:tc>
          <w:tcPr>
            <w:tcW w:type="dxa" w:w="2304"/>
            <w:tcMar>
              <w:top w:w="120" w:type="dxa"/>
              <w:bottom w:w="120" w:type="dxa"/>
              <w:left w:w="150" w:type="dxa"/>
              <w:right w:w="150" w:type="dxa"/>
            </w:tcMar>
            <w:shd w:fill="F8FAFC"/>
          </w:tcPr>
          <w:p>
            <w:pPr>
              <w:spacing w:before="40" w:after="40"/>
            </w:pPr>
            <w:r>
              <w:rPr>
                <w:rFonts w:ascii="Calibri" w:hAnsi="Calibri"/>
                <w:color w:val="1E293B"/>
                <w:sz w:val="18"/>
              </w:rPr>
              <w:t>Oversees day-to-day operations, tracks SLA adherence, manages shift handovers, leads Major Incident coordination.</w:t>
            </w:r>
          </w:p>
        </w:tc>
        <w:tc>
          <w:tcPr>
            <w:tcW w:type="dxa" w:w="1584"/>
            <w:tcMar>
              <w:top w:w="120" w:type="dxa"/>
              <w:bottom w:w="120" w:type="dxa"/>
              <w:left w:w="150" w:type="dxa"/>
              <w:right w:w="150" w:type="dxa"/>
            </w:tcMar>
            <w:shd w:fill="F8FAFC"/>
          </w:tcPr>
          <w:p>
            <w:pPr>
              <w:spacing w:before="40" w:after="40"/>
            </w:pPr>
            <w:r>
              <w:rPr>
                <w:rFonts w:ascii="Calibri" w:hAnsi="Calibri"/>
                <w:color w:val="1E293B"/>
                <w:sz w:val="18"/>
              </w:rPr>
              <w:t>Continuous (Operational)</w:t>
            </w:r>
          </w:p>
        </w:tc>
        <w:tc>
          <w:tcPr>
            <w:tcW w:type="dxa" w:w="2016"/>
            <w:tcMar>
              <w:top w:w="120" w:type="dxa"/>
              <w:bottom w:w="120" w:type="dxa"/>
              <w:left w:w="150" w:type="dxa"/>
              <w:right w:w="150" w:type="dxa"/>
            </w:tcMar>
            <w:shd w:fill="F8FAFC"/>
          </w:tcPr>
          <w:p>
            <w:pPr>
              <w:spacing w:before="40" w:after="40"/>
            </w:pPr>
            <w:r>
              <w:rPr>
                <w:rFonts w:ascii="Calibri" w:hAnsi="Calibri"/>
                <w:color w:val="1E293B"/>
                <w:sz w:val="18"/>
              </w:rPr>
              <w:t>Authorized to declare Major Incidents (P1), trigger emergency escalations, mobilize vendor executive support.</w:t>
            </w:r>
          </w:p>
        </w:tc>
      </w:tr>
      <w:tr>
        <w:trPr>
          <w:cantSplit/>
        </w:trPr>
        <w:tc>
          <w:tcPr>
            <w:tcW w:type="dxa" w:w="1728"/>
            <w:tcMar>
              <w:top w:w="120" w:type="dxa"/>
              <w:bottom w:w="120" w:type="dxa"/>
              <w:left w:w="150" w:type="dxa"/>
              <w:right w:w="150" w:type="dxa"/>
            </w:tcMar>
            <w:shd w:fill="FFFFFF"/>
          </w:tcPr>
          <w:p>
            <w:pPr>
              <w:spacing w:before="40" w:after="40"/>
            </w:pPr>
            <w:r>
              <w:rPr>
                <w:rFonts w:ascii="Calibri" w:hAnsi="Calibri"/>
                <w:color w:val="1E293B"/>
                <w:sz w:val="18"/>
              </w:rPr>
              <w:t>Service / Product Owner</w:t>
            </w:r>
          </w:p>
        </w:tc>
        <w:tc>
          <w:tcPr>
            <w:tcW w:type="dxa" w:w="1728"/>
            <w:tcMar>
              <w:top w:w="120" w:type="dxa"/>
              <w:bottom w:w="120" w:type="dxa"/>
              <w:left w:w="150" w:type="dxa"/>
              <w:right w:w="150" w:type="dxa"/>
            </w:tcMar>
            <w:shd w:fill="FFFFFF"/>
          </w:tcPr>
          <w:p>
            <w:pPr>
              <w:spacing w:before="40" w:after="40"/>
            </w:pPr>
            <w:r>
              <w:rPr>
                <w:rFonts w:ascii="Calibri" w:hAnsi="Calibri"/>
                <w:color w:val="1E293B"/>
                <w:sz w:val="18"/>
              </w:rPr>
              <w:t>Atlas Platform Product Owner</w:t>
            </w:r>
          </w:p>
        </w:tc>
        <w:tc>
          <w:tcPr>
            <w:tcW w:type="dxa" w:w="2304"/>
            <w:tcMar>
              <w:top w:w="120" w:type="dxa"/>
              <w:bottom w:w="120" w:type="dxa"/>
              <w:left w:w="150" w:type="dxa"/>
              <w:right w:w="150" w:type="dxa"/>
            </w:tcMar>
            <w:shd w:fill="FFFFFF"/>
          </w:tcPr>
          <w:p>
            <w:pPr>
              <w:spacing w:before="40" w:after="40"/>
            </w:pPr>
            <w:r>
              <w:rPr>
                <w:rFonts w:ascii="Calibri" w:hAnsi="Calibri"/>
                <w:color w:val="1E293B"/>
                <w:sz w:val="18"/>
              </w:rPr>
              <w:t>Owns platform roadmap, validates business impact, defines service performance targets, manages tenant expectations.</w:t>
            </w:r>
          </w:p>
        </w:tc>
        <w:tc>
          <w:tcPr>
            <w:tcW w:type="dxa" w:w="1584"/>
            <w:tcMar>
              <w:top w:w="120" w:type="dxa"/>
              <w:bottom w:w="120" w:type="dxa"/>
              <w:left w:w="150" w:type="dxa"/>
              <w:right w:w="150" w:type="dxa"/>
            </w:tcMar>
            <w:shd w:fill="FFFFFF"/>
          </w:tcPr>
          <w:p>
            <w:pPr>
              <w:spacing w:before="40" w:after="40"/>
            </w:pPr>
            <w:r>
              <w:rPr>
                <w:rFonts w:ascii="Calibri" w:hAnsi="Calibri"/>
                <w:color w:val="1E293B"/>
                <w:sz w:val="18"/>
              </w:rPr>
              <w:t>High (Strategic &amp; Ops)</w:t>
            </w:r>
          </w:p>
        </w:tc>
        <w:tc>
          <w:tcPr>
            <w:tcW w:type="dxa" w:w="2016"/>
            <w:tcMar>
              <w:top w:w="120" w:type="dxa"/>
              <w:bottom w:w="120" w:type="dxa"/>
              <w:left w:w="150" w:type="dxa"/>
              <w:right w:w="150" w:type="dxa"/>
            </w:tcMar>
            <w:shd w:fill="FFFFFF"/>
          </w:tcPr>
          <w:p>
            <w:pPr>
              <w:spacing w:before="40" w:after="40"/>
            </w:pPr>
            <w:r>
              <w:rPr>
                <w:rFonts w:ascii="Calibri" w:hAnsi="Calibri"/>
                <w:color w:val="1E293B"/>
                <w:sz w:val="18"/>
              </w:rPr>
              <w:t>Authorized to approve trade-offs between features and stability, reprioritize backlogs, authorize maintenance extensions.</w:t>
            </w:r>
          </w:p>
        </w:tc>
      </w:tr>
      <w:tr>
        <w:trPr>
          <w:cantSplit/>
        </w:trPr>
        <w:tc>
          <w:tcPr>
            <w:tcW w:type="dxa" w:w="1728"/>
            <w:tcMar>
              <w:top w:w="120" w:type="dxa"/>
              <w:bottom w:w="120" w:type="dxa"/>
              <w:left w:w="150" w:type="dxa"/>
              <w:right w:w="150" w:type="dxa"/>
            </w:tcMar>
            <w:shd w:fill="F8FAFC"/>
          </w:tcPr>
          <w:p>
            <w:pPr>
              <w:spacing w:before="40" w:after="40"/>
            </w:pPr>
            <w:r>
              <w:rPr>
                <w:rFonts w:ascii="Calibri" w:hAnsi="Calibri"/>
                <w:color w:val="1E293B"/>
                <w:sz w:val="18"/>
              </w:rPr>
              <w:t>Program / Delivery Manager</w:t>
            </w:r>
          </w:p>
        </w:tc>
        <w:tc>
          <w:tcPr>
            <w:tcW w:type="dxa" w:w="1728"/>
            <w:tcMar>
              <w:top w:w="120" w:type="dxa"/>
              <w:bottom w:w="120" w:type="dxa"/>
              <w:left w:w="150" w:type="dxa"/>
              <w:right w:w="150" w:type="dxa"/>
            </w:tcMar>
            <w:shd w:fill="F8FAFC"/>
          </w:tcPr>
          <w:p>
            <w:pPr>
              <w:spacing w:before="40" w:after="40"/>
            </w:pPr>
            <w:r>
              <w:rPr>
                <w:rFonts w:ascii="Calibri" w:hAnsi="Calibri"/>
                <w:color w:val="1E293B"/>
                <w:sz w:val="18"/>
              </w:rPr>
              <w:t>DevOps Delivery Lead</w:t>
            </w:r>
          </w:p>
        </w:tc>
        <w:tc>
          <w:tcPr>
            <w:tcW w:type="dxa" w:w="2304"/>
            <w:tcMar>
              <w:top w:w="120" w:type="dxa"/>
              <w:bottom w:w="120" w:type="dxa"/>
              <w:left w:w="150" w:type="dxa"/>
              <w:right w:w="150" w:type="dxa"/>
            </w:tcMar>
            <w:shd w:fill="F8FAFC"/>
          </w:tcPr>
          <w:p>
            <w:pPr>
              <w:spacing w:before="40" w:after="40"/>
            </w:pPr>
            <w:r>
              <w:rPr>
                <w:rFonts w:ascii="Calibri" w:hAnsi="Calibri"/>
                <w:color w:val="1E293B"/>
                <w:sz w:val="18"/>
              </w:rPr>
              <w:t>Coordinates cross-team dependencies (SCM, CI/CD, DB, Infra), mitigates delivery blockers, aligns milestones.</w:t>
            </w:r>
          </w:p>
        </w:tc>
        <w:tc>
          <w:tcPr>
            <w:tcW w:type="dxa" w:w="1584"/>
            <w:tcMar>
              <w:top w:w="120" w:type="dxa"/>
              <w:bottom w:w="120" w:type="dxa"/>
              <w:left w:w="150" w:type="dxa"/>
              <w:right w:w="150" w:type="dxa"/>
            </w:tcMar>
            <w:shd w:fill="F8FAFC"/>
          </w:tcPr>
          <w:p>
            <w:pPr>
              <w:spacing w:before="40" w:after="40"/>
            </w:pPr>
            <w:r>
              <w:rPr>
                <w:rFonts w:ascii="Calibri" w:hAnsi="Calibri"/>
                <w:color w:val="1E293B"/>
                <w:sz w:val="18"/>
              </w:rPr>
              <w:t>Medium to High (Coordination)</w:t>
            </w:r>
          </w:p>
        </w:tc>
        <w:tc>
          <w:tcPr>
            <w:tcW w:type="dxa" w:w="2016"/>
            <w:tcMar>
              <w:top w:w="120" w:type="dxa"/>
              <w:bottom w:w="120" w:type="dxa"/>
              <w:left w:w="150" w:type="dxa"/>
              <w:right w:w="150" w:type="dxa"/>
            </w:tcMar>
            <w:shd w:fill="F8FAFC"/>
          </w:tcPr>
          <w:p>
            <w:pPr>
              <w:spacing w:before="40" w:after="40"/>
            </w:pPr>
            <w:r>
              <w:rPr>
                <w:rFonts w:ascii="Calibri" w:hAnsi="Calibri"/>
                <w:color w:val="1E293B"/>
                <w:sz w:val="18"/>
              </w:rPr>
              <w:t>Escalates cross-departmental bottlenecks to senior executive leadership and governance committees.</w:t>
            </w:r>
          </w:p>
        </w:tc>
      </w:tr>
      <w:tr>
        <w:trPr>
          <w:cantSplit/>
        </w:trPr>
        <w:tc>
          <w:tcPr>
            <w:tcW w:type="dxa" w:w="1728"/>
            <w:tcMar>
              <w:top w:w="120" w:type="dxa"/>
              <w:bottom w:w="120" w:type="dxa"/>
              <w:left w:w="150" w:type="dxa"/>
              <w:right w:w="150" w:type="dxa"/>
            </w:tcMar>
            <w:shd w:fill="FFFFFF"/>
          </w:tcPr>
          <w:p>
            <w:pPr>
              <w:spacing w:before="40" w:after="40"/>
            </w:pPr>
            <w:r>
              <w:rPr>
                <w:rFonts w:ascii="Calibri" w:hAnsi="Calibri"/>
                <w:color w:val="1E293B"/>
                <w:sz w:val="18"/>
              </w:rPr>
              <w:t>Executive Manager (EM Lead)</w:t>
            </w:r>
          </w:p>
        </w:tc>
        <w:tc>
          <w:tcPr>
            <w:tcW w:type="dxa" w:w="1728"/>
            <w:tcMar>
              <w:top w:w="120" w:type="dxa"/>
              <w:bottom w:w="120" w:type="dxa"/>
              <w:left w:w="150" w:type="dxa"/>
              <w:right w:w="150" w:type="dxa"/>
            </w:tcMar>
            <w:shd w:fill="FFFFFF"/>
          </w:tcPr>
          <w:p>
            <w:pPr>
              <w:spacing w:before="40" w:after="40"/>
            </w:pPr>
            <w:r>
              <w:rPr>
                <w:rFonts w:ascii="Calibri" w:hAnsi="Calibri"/>
                <w:color w:val="1E293B"/>
                <w:sz w:val="18"/>
              </w:rPr>
              <w:t>Head of Platform &amp; Infrastructure</w:t>
            </w:r>
          </w:p>
        </w:tc>
        <w:tc>
          <w:tcPr>
            <w:tcW w:type="dxa" w:w="2304"/>
            <w:tcMar>
              <w:top w:w="120" w:type="dxa"/>
              <w:bottom w:w="120" w:type="dxa"/>
              <w:left w:w="150" w:type="dxa"/>
              <w:right w:w="150" w:type="dxa"/>
            </w:tcMar>
            <w:shd w:fill="FFFFFF"/>
          </w:tcPr>
          <w:p>
            <w:pPr>
              <w:spacing w:before="40" w:after="40"/>
            </w:pPr>
            <w:r>
              <w:rPr>
                <w:rFonts w:ascii="Calibri" w:hAnsi="Calibri"/>
                <w:color w:val="1E293B"/>
                <w:sz w:val="18"/>
              </w:rPr>
              <w:t>Maintains executive oversight, budget accountability, contractual governance, eliminates organizational friction.</w:t>
            </w:r>
          </w:p>
        </w:tc>
        <w:tc>
          <w:tcPr>
            <w:tcW w:type="dxa" w:w="1584"/>
            <w:tcMar>
              <w:top w:w="120" w:type="dxa"/>
              <w:bottom w:w="120" w:type="dxa"/>
              <w:left w:w="150" w:type="dxa"/>
              <w:right w:w="150" w:type="dxa"/>
            </w:tcMar>
            <w:shd w:fill="FFFFFF"/>
          </w:tcPr>
          <w:p>
            <w:pPr>
              <w:spacing w:before="40" w:after="40"/>
            </w:pPr>
            <w:r>
              <w:rPr>
                <w:rFonts w:ascii="Calibri" w:hAnsi="Calibri"/>
                <w:color w:val="1E293B"/>
                <w:sz w:val="18"/>
              </w:rPr>
              <w:t>High (Executive Oversight)</w:t>
            </w:r>
          </w:p>
        </w:tc>
        <w:tc>
          <w:tcPr>
            <w:tcW w:type="dxa" w:w="2016"/>
            <w:tcMar>
              <w:top w:w="120" w:type="dxa"/>
              <w:bottom w:w="120" w:type="dxa"/>
              <w:left w:w="150" w:type="dxa"/>
              <w:right w:w="150" w:type="dxa"/>
            </w:tcMar>
            <w:shd w:fill="FFFFFF"/>
          </w:tcPr>
          <w:p>
            <w:pPr>
              <w:spacing w:before="40" w:after="40"/>
            </w:pPr>
            <w:r>
              <w:rPr>
                <w:rFonts w:ascii="Calibri" w:hAnsi="Calibri"/>
                <w:color w:val="1E293B"/>
                <w:sz w:val="18"/>
              </w:rPr>
              <w:t>Final authority for critical architectural deviations, financial approvals for outside support, organizational risk acceptance.</w:t>
            </w:r>
          </w:p>
        </w:tc>
      </w:tr>
      <w:tr>
        <w:trPr>
          <w:cantSplit/>
        </w:trPr>
        <w:tc>
          <w:tcPr>
            <w:tcW w:type="dxa" w:w="1728"/>
            <w:tcMar>
              <w:top w:w="120" w:type="dxa"/>
              <w:bottom w:w="120" w:type="dxa"/>
              <w:left w:w="150" w:type="dxa"/>
              <w:right w:w="150" w:type="dxa"/>
            </w:tcMar>
            <w:shd w:fill="F8FAFC"/>
          </w:tcPr>
          <w:p>
            <w:pPr>
              <w:spacing w:before="40" w:after="40"/>
            </w:pPr>
            <w:r>
              <w:rPr>
                <w:rFonts w:ascii="Calibri" w:hAnsi="Calibri"/>
                <w:color w:val="1E293B"/>
                <w:sz w:val="18"/>
              </w:rPr>
              <w:t>Customer Success / BRM</w:t>
            </w:r>
          </w:p>
        </w:tc>
        <w:tc>
          <w:tcPr>
            <w:tcW w:type="dxa" w:w="1728"/>
            <w:tcMar>
              <w:top w:w="120" w:type="dxa"/>
              <w:bottom w:w="120" w:type="dxa"/>
              <w:left w:w="150" w:type="dxa"/>
              <w:right w:w="150" w:type="dxa"/>
            </w:tcMar>
            <w:shd w:fill="F8FAFC"/>
          </w:tcPr>
          <w:p>
            <w:pPr>
              <w:spacing w:before="40" w:after="40"/>
            </w:pPr>
            <w:r>
              <w:rPr>
                <w:rFonts w:ascii="Calibri" w:hAnsi="Calibri"/>
                <w:color w:val="1E293B"/>
                <w:sz w:val="18"/>
              </w:rPr>
              <w:t>Platform BRM Lead</w:t>
            </w:r>
          </w:p>
        </w:tc>
        <w:tc>
          <w:tcPr>
            <w:tcW w:type="dxa" w:w="2304"/>
            <w:tcMar>
              <w:top w:w="120" w:type="dxa"/>
              <w:bottom w:w="120" w:type="dxa"/>
              <w:left w:w="150" w:type="dxa"/>
              <w:right w:w="150" w:type="dxa"/>
            </w:tcMar>
            <w:shd w:fill="F8FAFC"/>
          </w:tcPr>
          <w:p>
            <w:pPr>
              <w:spacing w:before="40" w:after="40"/>
            </w:pPr>
            <w:r>
              <w:rPr>
                <w:rFonts w:ascii="Calibri" w:hAnsi="Calibri"/>
                <w:color w:val="1E293B"/>
                <w:sz w:val="18"/>
              </w:rPr>
              <w:t>Manages stakeholder communications, gathers feedback from internal tenant application teams, tracks SLA satisfaction.</w:t>
            </w:r>
          </w:p>
        </w:tc>
        <w:tc>
          <w:tcPr>
            <w:tcW w:type="dxa" w:w="1584"/>
            <w:tcMar>
              <w:top w:w="120" w:type="dxa"/>
              <w:bottom w:w="120" w:type="dxa"/>
              <w:left w:w="150" w:type="dxa"/>
              <w:right w:w="150" w:type="dxa"/>
            </w:tcMar>
            <w:shd w:fill="F8FAFC"/>
          </w:tcPr>
          <w:p>
            <w:pPr>
              <w:spacing w:before="40" w:after="40"/>
            </w:pPr>
            <w:r>
              <w:rPr>
                <w:rFonts w:ascii="Calibri" w:hAnsi="Calibri"/>
                <w:color w:val="1E293B"/>
                <w:sz w:val="18"/>
              </w:rPr>
              <w:t>Medium (Stakeholder Relations)</w:t>
            </w:r>
          </w:p>
        </w:tc>
        <w:tc>
          <w:tcPr>
            <w:tcW w:type="dxa" w:w="2016"/>
            <w:tcMar>
              <w:top w:w="120" w:type="dxa"/>
              <w:bottom w:w="120" w:type="dxa"/>
              <w:left w:w="150" w:type="dxa"/>
              <w:right w:w="150" w:type="dxa"/>
            </w:tcMar>
            <w:shd w:fill="F8FAFC"/>
          </w:tcPr>
          <w:p>
            <w:pPr>
              <w:spacing w:before="40" w:after="40"/>
            </w:pPr>
            <w:r>
              <w:rPr>
                <w:rFonts w:ascii="Calibri" w:hAnsi="Calibri"/>
                <w:color w:val="1E293B"/>
                <w:sz w:val="18"/>
              </w:rPr>
              <w:t>Escalates recurring tenant dissatisfaction and service quality issues directly to the Service Owner.</w:t>
            </w:r>
          </w:p>
        </w:tc>
      </w:tr>
      <w:tr>
        <w:trPr>
          <w:cantSplit/>
        </w:trPr>
        <w:tc>
          <w:tcPr>
            <w:tcW w:type="dxa" w:w="1728"/>
            <w:tcMar>
              <w:top w:w="120" w:type="dxa"/>
              <w:bottom w:w="120" w:type="dxa"/>
              <w:left w:w="150" w:type="dxa"/>
              <w:right w:w="150" w:type="dxa"/>
            </w:tcMar>
            <w:shd w:fill="FFFFFF"/>
          </w:tcPr>
          <w:p>
            <w:pPr>
              <w:spacing w:before="40" w:after="40"/>
            </w:pPr>
            <w:r>
              <w:rPr>
                <w:rFonts w:ascii="Calibri" w:hAnsi="Calibri"/>
                <w:color w:val="1E293B"/>
                <w:sz w:val="18"/>
              </w:rPr>
              <w:t>L3 / Platform Evangelists</w:t>
            </w:r>
          </w:p>
        </w:tc>
        <w:tc>
          <w:tcPr>
            <w:tcW w:type="dxa" w:w="1728"/>
            <w:tcMar>
              <w:top w:w="120" w:type="dxa"/>
              <w:bottom w:w="120" w:type="dxa"/>
              <w:left w:w="150" w:type="dxa"/>
              <w:right w:w="150" w:type="dxa"/>
            </w:tcMar>
            <w:shd w:fill="FFFFFF"/>
          </w:tcPr>
          <w:p>
            <w:pPr>
              <w:spacing w:before="40" w:after="40"/>
            </w:pPr>
            <w:r>
              <w:rPr>
                <w:rFonts w:ascii="Calibri" w:hAnsi="Calibri"/>
                <w:color w:val="1E293B"/>
                <w:sz w:val="18"/>
              </w:rPr>
              <w:t>Juan Pablo Mosquera, William Urrea, Daniel Cure</w:t>
            </w:r>
          </w:p>
        </w:tc>
        <w:tc>
          <w:tcPr>
            <w:tcW w:type="dxa" w:w="2304"/>
            <w:tcMar>
              <w:top w:w="120" w:type="dxa"/>
              <w:bottom w:w="120" w:type="dxa"/>
              <w:left w:w="150" w:type="dxa"/>
              <w:right w:w="150" w:type="dxa"/>
            </w:tcMar>
            <w:shd w:fill="FFFFFF"/>
          </w:tcPr>
          <w:p>
            <w:pPr>
              <w:spacing w:before="40" w:after="40"/>
            </w:pPr>
            <w:r>
              <w:rPr>
                <w:rFonts w:ascii="Calibri" w:hAnsi="Calibri"/>
                <w:color w:val="1E293B"/>
                <w:sz w:val="18"/>
              </w:rPr>
              <w:t>Leads deep troubleshooting, architectural alignment, permanent fixes, and vendor technical liaison.</w:t>
            </w:r>
          </w:p>
        </w:tc>
        <w:tc>
          <w:tcPr>
            <w:tcW w:type="dxa" w:w="1584"/>
            <w:tcMar>
              <w:top w:w="120" w:type="dxa"/>
              <w:bottom w:w="120" w:type="dxa"/>
              <w:left w:w="150" w:type="dxa"/>
              <w:right w:w="150" w:type="dxa"/>
            </w:tcMar>
            <w:shd w:fill="FFFFFF"/>
          </w:tcPr>
          <w:p>
            <w:pPr>
              <w:spacing w:before="40" w:after="40"/>
            </w:pPr>
            <w:r>
              <w:rPr>
                <w:rFonts w:ascii="Calibri" w:hAnsi="Calibri"/>
                <w:color w:val="1E293B"/>
                <w:sz w:val="18"/>
              </w:rPr>
              <w:t>High (Technical Leadership)</w:t>
            </w:r>
          </w:p>
        </w:tc>
        <w:tc>
          <w:tcPr>
            <w:tcW w:type="dxa" w:w="2016"/>
            <w:tcMar>
              <w:top w:w="120" w:type="dxa"/>
              <w:bottom w:w="120" w:type="dxa"/>
              <w:left w:w="150" w:type="dxa"/>
              <w:right w:w="150" w:type="dxa"/>
            </w:tcMar>
            <w:shd w:fill="FFFFFF"/>
          </w:tcPr>
          <w:p>
            <w:pPr>
              <w:spacing w:before="40" w:after="40"/>
            </w:pPr>
            <w:r>
              <w:rPr>
                <w:rFonts w:ascii="Calibri" w:hAnsi="Calibri"/>
                <w:color w:val="1E293B"/>
                <w:sz w:val="18"/>
              </w:rPr>
              <w:t>Authorized to escalate architectural risks and initiate vendor engineering tickets.</w:t>
            </w:r>
          </w:p>
        </w:tc>
      </w:tr>
      <w:tr>
        <w:trPr>
          <w:cantSplit/>
        </w:trPr>
        <w:tc>
          <w:tcPr>
            <w:tcW w:type="dxa" w:w="1728"/>
            <w:tcMar>
              <w:top w:w="120" w:type="dxa"/>
              <w:bottom w:w="120" w:type="dxa"/>
              <w:left w:w="150" w:type="dxa"/>
              <w:right w:w="150" w:type="dxa"/>
            </w:tcMar>
            <w:shd w:fill="F8FAFC"/>
          </w:tcPr>
          <w:p>
            <w:pPr>
              <w:spacing w:before="40" w:after="40"/>
            </w:pPr>
            <w:r>
              <w:rPr>
                <w:rFonts w:ascii="Calibri" w:hAnsi="Calibri"/>
                <w:color w:val="1E293B"/>
                <w:sz w:val="18"/>
              </w:rPr>
              <w:t>Kubernetes Support Engineers</w:t>
            </w:r>
          </w:p>
        </w:tc>
        <w:tc>
          <w:tcPr>
            <w:tcW w:type="dxa" w:w="1728"/>
            <w:tcMar>
              <w:top w:w="120" w:type="dxa"/>
              <w:bottom w:w="120" w:type="dxa"/>
              <w:left w:w="150" w:type="dxa"/>
              <w:right w:w="150" w:type="dxa"/>
            </w:tcMar>
            <w:shd w:fill="F8FAFC"/>
          </w:tcPr>
          <w:p>
            <w:pPr>
              <w:spacing w:before="40" w:after="40"/>
            </w:pPr>
            <w:r>
              <w:rPr>
                <w:rFonts w:ascii="Calibri" w:hAnsi="Calibri"/>
                <w:color w:val="1E293B"/>
                <w:sz w:val="18"/>
              </w:rPr>
              <w:t>Daniel Cure (SRE), Sebastian Guerrero, Cristian Fandiño</w:t>
            </w:r>
          </w:p>
        </w:tc>
        <w:tc>
          <w:tcPr>
            <w:tcW w:type="dxa" w:w="2304"/>
            <w:tcMar>
              <w:top w:w="120" w:type="dxa"/>
              <w:bottom w:w="120" w:type="dxa"/>
              <w:left w:w="150" w:type="dxa"/>
              <w:right w:w="150" w:type="dxa"/>
            </w:tcMar>
            <w:shd w:fill="F8FAFC"/>
          </w:tcPr>
          <w:p>
            <w:pPr>
              <w:spacing w:before="40" w:after="40"/>
            </w:pPr>
            <w:r>
              <w:rPr>
                <w:rFonts w:ascii="Calibri" w:hAnsi="Calibri"/>
                <w:color w:val="1E293B"/>
                <w:sz w:val="18"/>
              </w:rPr>
              <w:t>Advanced operations for K8s clusters, incident investigation, remediation execution, playbook validation.</w:t>
            </w:r>
          </w:p>
        </w:tc>
        <w:tc>
          <w:tcPr>
            <w:tcW w:type="dxa" w:w="1584"/>
            <w:tcMar>
              <w:top w:w="120" w:type="dxa"/>
              <w:bottom w:w="120" w:type="dxa"/>
              <w:left w:w="150" w:type="dxa"/>
              <w:right w:w="150" w:type="dxa"/>
            </w:tcMar>
            <w:shd w:fill="F8FAFC"/>
          </w:tcPr>
          <w:p>
            <w:pPr>
              <w:spacing w:before="40" w:after="40"/>
            </w:pPr>
            <w:r>
              <w:rPr>
                <w:rFonts w:ascii="Calibri" w:hAnsi="Calibri"/>
                <w:color w:val="1E293B"/>
                <w:sz w:val="18"/>
              </w:rPr>
              <w:t>High (Operational Execution)</w:t>
            </w:r>
          </w:p>
        </w:tc>
        <w:tc>
          <w:tcPr>
            <w:tcW w:type="dxa" w:w="2016"/>
            <w:tcMar>
              <w:top w:w="120" w:type="dxa"/>
              <w:bottom w:w="120" w:type="dxa"/>
              <w:left w:w="150" w:type="dxa"/>
              <w:right w:w="150" w:type="dxa"/>
            </w:tcMar>
            <w:shd w:fill="F8FAFC"/>
          </w:tcPr>
          <w:p>
            <w:pPr>
              <w:spacing w:before="40" w:after="40"/>
            </w:pPr>
            <w:r>
              <w:rPr>
                <w:rFonts w:ascii="Calibri" w:hAnsi="Calibri"/>
                <w:color w:val="1E293B"/>
                <w:sz w:val="18"/>
              </w:rPr>
              <w:t>Escalates complex or systemic defects to Team Leads or Evangelists.</w:t>
            </w:r>
          </w:p>
        </w:tc>
      </w:tr>
      <w:tr>
        <w:trPr>
          <w:cantSplit/>
        </w:trPr>
        <w:tc>
          <w:tcPr>
            <w:tcW w:type="dxa" w:w="1728"/>
            <w:tcMar>
              <w:top w:w="120" w:type="dxa"/>
              <w:bottom w:w="120" w:type="dxa"/>
              <w:left w:w="150" w:type="dxa"/>
              <w:right w:w="150" w:type="dxa"/>
            </w:tcMar>
            <w:shd w:fill="FFFFFF"/>
          </w:tcPr>
          <w:p>
            <w:pPr>
              <w:spacing w:before="40" w:after="40"/>
            </w:pPr>
            <w:r>
              <w:rPr>
                <w:rFonts w:ascii="Calibri" w:hAnsi="Calibri"/>
                <w:color w:val="1E293B"/>
                <w:sz w:val="18"/>
              </w:rPr>
              <w:t>Source Code Support Engineers</w:t>
            </w:r>
          </w:p>
        </w:tc>
        <w:tc>
          <w:tcPr>
            <w:tcW w:type="dxa" w:w="1728"/>
            <w:tcMar>
              <w:top w:w="120" w:type="dxa"/>
              <w:bottom w:w="120" w:type="dxa"/>
              <w:left w:w="150" w:type="dxa"/>
              <w:right w:w="150" w:type="dxa"/>
            </w:tcMar>
            <w:shd w:fill="FFFFFF"/>
          </w:tcPr>
          <w:p>
            <w:pPr>
              <w:spacing w:before="40" w:after="40"/>
            </w:pPr>
            <w:r>
              <w:rPr>
                <w:rFonts w:ascii="Calibri" w:hAnsi="Calibri"/>
                <w:color w:val="1E293B"/>
                <w:sz w:val="18"/>
              </w:rPr>
              <w:t>William Urrea, Marcela Lara</w:t>
            </w:r>
          </w:p>
        </w:tc>
        <w:tc>
          <w:tcPr>
            <w:tcW w:type="dxa" w:w="2304"/>
            <w:tcMar>
              <w:top w:w="120" w:type="dxa"/>
              <w:bottom w:w="120" w:type="dxa"/>
              <w:left w:w="150" w:type="dxa"/>
              <w:right w:w="150" w:type="dxa"/>
            </w:tcMar>
            <w:shd w:fill="FFFFFF"/>
          </w:tcPr>
          <w:p>
            <w:pPr>
              <w:spacing w:before="40" w:after="40"/>
            </w:pPr>
            <w:r>
              <w:rPr>
                <w:rFonts w:ascii="Calibri" w:hAnsi="Calibri"/>
                <w:color w:val="1E293B"/>
                <w:sz w:val="18"/>
              </w:rPr>
              <w:t>Operational support for GitLab and Artifactory platforms, runner fleets, and CI/CD pipelines.</w:t>
            </w:r>
          </w:p>
        </w:tc>
        <w:tc>
          <w:tcPr>
            <w:tcW w:type="dxa" w:w="1584"/>
            <w:tcMar>
              <w:top w:w="120" w:type="dxa"/>
              <w:bottom w:w="120" w:type="dxa"/>
              <w:left w:w="150" w:type="dxa"/>
              <w:right w:w="150" w:type="dxa"/>
            </w:tcMar>
            <w:shd w:fill="FFFFFF"/>
          </w:tcPr>
          <w:p>
            <w:pPr>
              <w:spacing w:before="40" w:after="40"/>
            </w:pPr>
            <w:r>
              <w:rPr>
                <w:rFonts w:ascii="Calibri" w:hAnsi="Calibri"/>
                <w:color w:val="1E293B"/>
                <w:sz w:val="18"/>
              </w:rPr>
              <w:t>High (Operational Execution)</w:t>
            </w:r>
          </w:p>
        </w:tc>
        <w:tc>
          <w:tcPr>
            <w:tcW w:type="dxa" w:w="2016"/>
            <w:tcMar>
              <w:top w:w="120" w:type="dxa"/>
              <w:bottom w:w="120" w:type="dxa"/>
              <w:left w:w="150" w:type="dxa"/>
              <w:right w:w="150" w:type="dxa"/>
            </w:tcMar>
            <w:shd w:fill="FFFFFF"/>
          </w:tcPr>
          <w:p>
            <w:pPr>
              <w:spacing w:before="40" w:after="40"/>
            </w:pPr>
            <w:r>
              <w:rPr>
                <w:rFonts w:ascii="Calibri" w:hAnsi="Calibri"/>
                <w:color w:val="1E293B"/>
                <w:sz w:val="18"/>
              </w:rPr>
              <w:t>Escalates complex pipeline/registry infrastructure issues to Team Lead.</w:t>
            </w:r>
          </w:p>
        </w:tc>
      </w:tr>
      <w:tr>
        <w:trPr>
          <w:cantSplit/>
        </w:trPr>
        <w:tc>
          <w:tcPr>
            <w:tcW w:type="dxa" w:w="1728"/>
            <w:tcMar>
              <w:top w:w="120" w:type="dxa"/>
              <w:bottom w:w="120" w:type="dxa"/>
              <w:left w:w="150" w:type="dxa"/>
              <w:right w:w="150" w:type="dxa"/>
            </w:tcMar>
            <w:shd w:fill="F8FAFC"/>
          </w:tcPr>
          <w:p>
            <w:pPr>
              <w:spacing w:before="40" w:after="40"/>
            </w:pPr>
            <w:r>
              <w:rPr>
                <w:rFonts w:ascii="Calibri" w:hAnsi="Calibri"/>
                <w:color w:val="1E293B"/>
                <w:sz w:val="18"/>
              </w:rPr>
              <w:t>Architecture Governance</w:t>
            </w:r>
          </w:p>
        </w:tc>
        <w:tc>
          <w:tcPr>
            <w:tcW w:type="dxa" w:w="1728"/>
            <w:tcMar>
              <w:top w:w="120" w:type="dxa"/>
              <w:bottom w:w="120" w:type="dxa"/>
              <w:left w:w="150" w:type="dxa"/>
              <w:right w:w="150" w:type="dxa"/>
            </w:tcMar>
            <w:shd w:fill="F8FAFC"/>
          </w:tcPr>
          <w:p>
            <w:pPr>
              <w:spacing w:before="40" w:after="40"/>
            </w:pPr>
            <w:r>
              <w:rPr>
                <w:rFonts w:ascii="Calibri" w:hAnsi="Calibri"/>
                <w:color w:val="1E293B"/>
                <w:sz w:val="18"/>
              </w:rPr>
              <w:t>Wesley Merrick</w:t>
            </w:r>
          </w:p>
        </w:tc>
        <w:tc>
          <w:tcPr>
            <w:tcW w:type="dxa" w:w="2304"/>
            <w:tcMar>
              <w:top w:w="120" w:type="dxa"/>
              <w:bottom w:w="120" w:type="dxa"/>
              <w:left w:w="150" w:type="dxa"/>
              <w:right w:w="150" w:type="dxa"/>
            </w:tcMar>
            <w:shd w:fill="F8FAFC"/>
          </w:tcPr>
          <w:p>
            <w:pPr>
              <w:spacing w:before="40" w:after="40"/>
            </w:pPr>
            <w:r>
              <w:rPr>
                <w:rFonts w:ascii="Calibri" w:hAnsi="Calibri"/>
                <w:color w:val="1E293B"/>
                <w:sz w:val="18"/>
              </w:rPr>
              <w:t>Ensures platform coherence, reviews architectural risks, approves emergency/long-term design changes.</w:t>
            </w:r>
          </w:p>
        </w:tc>
        <w:tc>
          <w:tcPr>
            <w:tcW w:type="dxa" w:w="1584"/>
            <w:tcMar>
              <w:top w:w="120" w:type="dxa"/>
              <w:bottom w:w="120" w:type="dxa"/>
              <w:left w:w="150" w:type="dxa"/>
              <w:right w:w="150" w:type="dxa"/>
            </w:tcMar>
            <w:shd w:fill="F8FAFC"/>
          </w:tcPr>
          <w:p>
            <w:pPr>
              <w:spacing w:before="40" w:after="40"/>
            </w:pPr>
            <w:r>
              <w:rPr>
                <w:rFonts w:ascii="Calibri" w:hAnsi="Calibri"/>
                <w:color w:val="1E293B"/>
                <w:sz w:val="18"/>
              </w:rPr>
              <w:t>On Demand (Strategic)</w:t>
            </w:r>
          </w:p>
        </w:tc>
        <w:tc>
          <w:tcPr>
            <w:tcW w:type="dxa" w:w="2016"/>
            <w:tcMar>
              <w:top w:w="120" w:type="dxa"/>
              <w:bottom w:w="120" w:type="dxa"/>
              <w:left w:w="150" w:type="dxa"/>
              <w:right w:w="150" w:type="dxa"/>
            </w:tcMar>
            <w:shd w:fill="F8FAFC"/>
          </w:tcPr>
          <w:p>
            <w:pPr>
              <w:spacing w:before="40" w:after="40"/>
            </w:pPr>
            <w:r>
              <w:rPr>
                <w:rFonts w:ascii="Calibri" w:hAnsi="Calibri"/>
                <w:color w:val="1E293B"/>
                <w:sz w:val="18"/>
              </w:rPr>
              <w:t>Authority to approve or reject structural platform changes and emergency architectural deviations.</w:t>
            </w:r>
          </w:p>
        </w:tc>
      </w:tr>
    </w:tbl>
    <w:p>
      <w:pPr>
        <w:spacing w:after="120"/>
      </w:pPr>
    </w:p>
    <w:p>
      <w:pPr>
        <w:keepNext/>
        <w:spacing w:before="320" w:after="120"/>
      </w:pPr>
      <w:r>
        <w:rPr>
          <w:rFonts w:ascii="Calibri" w:hAnsi="Calibri"/>
          <w:b/>
          <w:color w:val="1E3A8A"/>
          <w:sz w:val="28"/>
        </w:rPr>
        <w:t>5. Comprehensive Vendor Support Matrix</w:t>
      </w:r>
    </w:p>
    <w:p>
      <w:pPr>
        <w:spacing w:after="120"/>
      </w:pPr>
      <w:r>
        <w:t>This matrix outlines external vendor contracts, service tiers, portals, and contractual response commitments: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296"/>
            <w:tcMar>
              <w:top w:w="120" w:type="dxa"/>
              <w:bottom w:w="120" w:type="dxa"/>
              <w:left w:w="150" w:type="dxa"/>
              <w:right w:w="150" w:type="dxa"/>
            </w:tcMar>
            <w:shd w:fill="1E3A8A"/>
          </w:tcPr>
          <w:p>
            <w:pPr>
              <w:spacing w:before="40" w:after="40"/>
            </w:pPr>
            <w:r>
              <w:rPr>
                <w:rFonts w:ascii="Calibri" w:hAnsi="Calibri"/>
                <w:b/>
                <w:color w:val="FFFFFF"/>
                <w:sz w:val="19"/>
              </w:rPr>
              <w:t>Vendor &amp; Product</w:t>
            </w:r>
          </w:p>
        </w:tc>
        <w:tc>
          <w:tcPr>
            <w:tcW w:type="dxa" w:w="1440"/>
            <w:tcMar>
              <w:top w:w="120" w:type="dxa"/>
              <w:bottom w:w="120" w:type="dxa"/>
              <w:left w:w="150" w:type="dxa"/>
              <w:right w:w="150" w:type="dxa"/>
            </w:tcMar>
            <w:shd w:fill="1E3A8A"/>
          </w:tcPr>
          <w:p>
            <w:pPr>
              <w:spacing w:before="40" w:after="40"/>
            </w:pPr>
            <w:r>
              <w:rPr>
                <w:rFonts w:ascii="Calibri" w:hAnsi="Calibri"/>
                <w:b/>
                <w:color w:val="FFFFFF"/>
                <w:sz w:val="19"/>
              </w:rPr>
              <w:t>Component / Scope</w:t>
            </w:r>
          </w:p>
        </w:tc>
        <w:tc>
          <w:tcPr>
            <w:tcW w:type="dxa" w:w="1296"/>
            <w:tcMar>
              <w:top w:w="120" w:type="dxa"/>
              <w:bottom w:w="120" w:type="dxa"/>
              <w:left w:w="150" w:type="dxa"/>
              <w:right w:w="150" w:type="dxa"/>
            </w:tcMar>
            <w:shd w:fill="1E3A8A"/>
          </w:tcPr>
          <w:p>
            <w:pPr>
              <w:spacing w:before="40" w:after="40"/>
            </w:pPr>
            <w:r>
              <w:rPr>
                <w:rFonts w:ascii="Calibri" w:hAnsi="Calibri"/>
                <w:b/>
                <w:color w:val="FFFFFF"/>
                <w:sz w:val="19"/>
              </w:rPr>
              <w:t>Support Tier</w:t>
            </w:r>
          </w:p>
        </w:tc>
        <w:tc>
          <w:tcPr>
            <w:tcW w:type="dxa" w:w="1584"/>
            <w:tcMar>
              <w:top w:w="120" w:type="dxa"/>
              <w:bottom w:w="120" w:type="dxa"/>
              <w:left w:w="150" w:type="dxa"/>
              <w:right w:w="150" w:type="dxa"/>
            </w:tcMar>
            <w:shd w:fill="1E3A8A"/>
          </w:tcPr>
          <w:p>
            <w:pPr>
              <w:spacing w:before="40" w:after="40"/>
            </w:pPr>
            <w:r>
              <w:rPr>
                <w:rFonts w:ascii="Calibri" w:hAnsi="Calibri"/>
                <w:b/>
                <w:color w:val="FFFFFF"/>
                <w:sz w:val="19"/>
              </w:rPr>
              <w:t>Support Access / Portal</w:t>
            </w:r>
          </w:p>
        </w:tc>
        <w:tc>
          <w:tcPr>
            <w:tcW w:type="dxa" w:w="1296"/>
            <w:tcMar>
              <w:top w:w="120" w:type="dxa"/>
              <w:bottom w:w="120" w:type="dxa"/>
              <w:left w:w="150" w:type="dxa"/>
              <w:right w:w="150" w:type="dxa"/>
            </w:tcMar>
            <w:shd w:fill="1E3A8A"/>
          </w:tcPr>
          <w:p>
            <w:pPr>
              <w:spacing w:before="40" w:after="40"/>
            </w:pPr>
            <w:r>
              <w:rPr>
                <w:rFonts w:ascii="Calibri" w:hAnsi="Calibri"/>
                <w:b/>
                <w:color w:val="FFFFFF"/>
                <w:sz w:val="19"/>
              </w:rPr>
              <w:t>Account / Contract ID</w:t>
            </w:r>
          </w:p>
        </w:tc>
        <w:tc>
          <w:tcPr>
            <w:tcW w:type="dxa" w:w="1296"/>
            <w:tcMar>
              <w:top w:w="120" w:type="dxa"/>
              <w:bottom w:w="120" w:type="dxa"/>
              <w:left w:w="150" w:type="dxa"/>
              <w:right w:w="150" w:type="dxa"/>
            </w:tcMar>
            <w:shd w:fill="1E3A8A"/>
          </w:tcPr>
          <w:p>
            <w:pPr>
              <w:spacing w:before="40" w:after="40"/>
            </w:pPr>
            <w:r>
              <w:rPr>
                <w:rFonts w:ascii="Calibri" w:hAnsi="Calibri"/>
                <w:b/>
                <w:color w:val="FFFFFF"/>
                <w:sz w:val="19"/>
              </w:rPr>
              <w:t>Designated Lead</w:t>
            </w:r>
          </w:p>
        </w:tc>
        <w:tc>
          <w:tcPr>
            <w:tcW w:type="dxa" w:w="1152"/>
            <w:tcMar>
              <w:top w:w="120" w:type="dxa"/>
              <w:bottom w:w="120" w:type="dxa"/>
              <w:left w:w="150" w:type="dxa"/>
              <w:right w:w="150" w:type="dxa"/>
            </w:tcMar>
            <w:shd w:fill="1E3A8A"/>
          </w:tcPr>
          <w:p>
            <w:pPr>
              <w:spacing w:before="40" w:after="40"/>
            </w:pPr>
            <w:r>
              <w:rPr>
                <w:rFonts w:ascii="Calibri" w:hAnsi="Calibri"/>
                <w:b/>
                <w:color w:val="FFFFFF"/>
                <w:sz w:val="19"/>
              </w:rPr>
              <w:t>Contractual SLAs</w:t>
            </w:r>
          </w:p>
        </w:tc>
      </w:tr>
      <w:tr>
        <w:trPr>
          <w:cantSplit/>
        </w:trPr>
        <w:tc>
          <w:tcPr>
            <w:tcW w:type="dxa" w:w="1296"/>
            <w:tcMar>
              <w:top w:w="120" w:type="dxa"/>
              <w:bottom w:w="120" w:type="dxa"/>
              <w:left w:w="150" w:type="dxa"/>
              <w:right w:w="150" w:type="dxa"/>
            </w:tcMar>
            <w:shd w:fill="F8FAFC"/>
          </w:tcPr>
          <w:p>
            <w:pPr>
              <w:spacing w:before="40" w:after="40"/>
            </w:pPr>
            <w:r>
              <w:rPr>
                <w:rFonts w:ascii="Calibri" w:hAnsi="Calibri"/>
                <w:color w:val="1E293B"/>
                <w:sz w:val="18"/>
              </w:rPr>
              <w:t>VMware Tanzu</w:t>
            </w:r>
          </w:p>
        </w:tc>
        <w:tc>
          <w:tcPr>
            <w:tcW w:type="dxa" w:w="1440"/>
            <w:tcMar>
              <w:top w:w="120" w:type="dxa"/>
              <w:bottom w:w="120" w:type="dxa"/>
              <w:left w:w="150" w:type="dxa"/>
              <w:right w:w="150" w:type="dxa"/>
            </w:tcMar>
            <w:shd w:fill="F8FAFC"/>
          </w:tcPr>
          <w:p>
            <w:pPr>
              <w:spacing w:before="40" w:after="40"/>
            </w:pPr>
            <w:r>
              <w:rPr>
                <w:rFonts w:ascii="Calibri" w:hAnsi="Calibri"/>
                <w:color w:val="1E293B"/>
                <w:sz w:val="18"/>
              </w:rPr>
              <w:t>On-Prem Kubernetes Platform</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Mission Critical 24x7</w:t>
            </w:r>
          </w:p>
        </w:tc>
        <w:tc>
          <w:tcPr>
            <w:tcW w:type="dxa" w:w="1584"/>
            <w:tcMar>
              <w:top w:w="120" w:type="dxa"/>
              <w:bottom w:w="120" w:type="dxa"/>
              <w:left w:w="150" w:type="dxa"/>
              <w:right w:w="150" w:type="dxa"/>
            </w:tcMar>
            <w:shd w:fill="F8FAFC"/>
          </w:tcPr>
          <w:p>
            <w:pPr>
              <w:spacing w:before="40" w:after="40"/>
            </w:pPr>
            <w:r>
              <w:rPr>
                <w:rFonts w:ascii="Calibri" w:hAnsi="Calibri"/>
                <w:color w:val="1E293B"/>
                <w:sz w:val="18"/>
              </w:rPr>
              <w:t>customerconnect.vmware.com</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MDT-TANZU-PROD-01</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Wesley Merrick / L3</w:t>
            </w:r>
          </w:p>
        </w:tc>
        <w:tc>
          <w:tcPr>
            <w:tcW w:type="dxa" w:w="1152"/>
            <w:tcMar>
              <w:top w:w="120" w:type="dxa"/>
              <w:bottom w:w="120" w:type="dxa"/>
              <w:left w:w="150" w:type="dxa"/>
              <w:right w:w="150" w:type="dxa"/>
            </w:tcMar>
            <w:shd w:fill="F8FAFC"/>
          </w:tcPr>
          <w:p>
            <w:pPr>
              <w:spacing w:before="40" w:after="40"/>
            </w:pPr>
            <w:r>
              <w:rPr>
                <w:rFonts w:ascii="Calibri" w:hAnsi="Calibri"/>
                <w:color w:val="1E293B"/>
                <w:sz w:val="18"/>
              </w:rPr>
              <w:t>P1: &lt; 30 min</w:t>
              <w:br/>
              <w:t>P2: &lt; 2 hrs</w:t>
            </w:r>
          </w:p>
        </w:tc>
      </w:tr>
      <w:tr>
        <w:trPr>
          <w:cantSplit/>
        </w:trPr>
        <w:tc>
          <w:tcPr>
            <w:tcW w:type="dxa" w:w="1296"/>
            <w:tcMar>
              <w:top w:w="120" w:type="dxa"/>
              <w:bottom w:w="120" w:type="dxa"/>
              <w:left w:w="150" w:type="dxa"/>
              <w:right w:w="150" w:type="dxa"/>
            </w:tcMar>
            <w:shd w:fill="FFFFFF"/>
          </w:tcPr>
          <w:p>
            <w:pPr>
              <w:spacing w:before="40" w:after="40"/>
            </w:pPr>
            <w:r>
              <w:rPr>
                <w:rFonts w:ascii="Calibri" w:hAnsi="Calibri"/>
                <w:color w:val="1E293B"/>
                <w:sz w:val="18"/>
              </w:rPr>
              <w:t>AWS</w:t>
            </w:r>
          </w:p>
        </w:tc>
        <w:tc>
          <w:tcPr>
            <w:tcW w:type="dxa" w:w="1440"/>
            <w:tcMar>
              <w:top w:w="120" w:type="dxa"/>
              <w:bottom w:w="120" w:type="dxa"/>
              <w:left w:w="150" w:type="dxa"/>
              <w:right w:w="150" w:type="dxa"/>
            </w:tcMar>
            <w:shd w:fill="FFFFFF"/>
          </w:tcPr>
          <w:p>
            <w:pPr>
              <w:spacing w:before="40" w:after="40"/>
            </w:pPr>
            <w:r>
              <w:rPr>
                <w:rFonts w:ascii="Calibri" w:hAnsi="Calibri"/>
                <w:color w:val="1E293B"/>
                <w:sz w:val="18"/>
              </w:rPr>
              <w:t>EKS, CloudWatch, Cloud9</w:t>
            </w:r>
          </w:p>
        </w:tc>
        <w:tc>
          <w:tcPr>
            <w:tcW w:type="dxa" w:w="1296"/>
            <w:tcMar>
              <w:top w:w="120" w:type="dxa"/>
              <w:bottom w:w="120" w:type="dxa"/>
              <w:left w:w="150" w:type="dxa"/>
              <w:right w:w="150" w:type="dxa"/>
            </w:tcMar>
            <w:shd w:fill="FFFFFF"/>
          </w:tcPr>
          <w:p>
            <w:pPr>
              <w:spacing w:before="40" w:after="40"/>
            </w:pPr>
            <w:r>
              <w:rPr>
                <w:rFonts w:ascii="Calibri" w:hAnsi="Calibri"/>
                <w:color w:val="1E293B"/>
                <w:sz w:val="18"/>
              </w:rPr>
              <w:t>Enterprise Support</w:t>
            </w:r>
          </w:p>
        </w:tc>
        <w:tc>
          <w:tcPr>
            <w:tcW w:type="dxa" w:w="1584"/>
            <w:tcMar>
              <w:top w:w="120" w:type="dxa"/>
              <w:bottom w:w="120" w:type="dxa"/>
              <w:left w:w="150" w:type="dxa"/>
              <w:right w:w="150" w:type="dxa"/>
            </w:tcMar>
            <w:shd w:fill="FFFFFF"/>
          </w:tcPr>
          <w:p>
            <w:pPr>
              <w:spacing w:before="40" w:after="40"/>
            </w:pPr>
            <w:r>
              <w:rPr>
                <w:rFonts w:ascii="Calibri" w:hAnsi="Calibri"/>
                <w:color w:val="1E293B"/>
                <w:sz w:val="18"/>
              </w:rPr>
              <w:t>console.aws.amazon.com/support</w:t>
            </w:r>
          </w:p>
        </w:tc>
        <w:tc>
          <w:tcPr>
            <w:tcW w:type="dxa" w:w="1296"/>
            <w:tcMar>
              <w:top w:w="120" w:type="dxa"/>
              <w:bottom w:w="120" w:type="dxa"/>
              <w:left w:w="150" w:type="dxa"/>
              <w:right w:w="150" w:type="dxa"/>
            </w:tcMar>
            <w:shd w:fill="FFFFFF"/>
          </w:tcPr>
          <w:p>
            <w:pPr>
              <w:spacing w:before="40" w:after="40"/>
            </w:pPr>
            <w:r>
              <w:rPr>
                <w:rFonts w:ascii="Calibri" w:hAnsi="Calibri"/>
                <w:color w:val="1E293B"/>
                <w:sz w:val="18"/>
              </w:rPr>
              <w:t>AWS-MDT-SHARED-ENT</w:t>
            </w:r>
          </w:p>
        </w:tc>
        <w:tc>
          <w:tcPr>
            <w:tcW w:type="dxa" w:w="1296"/>
            <w:tcMar>
              <w:top w:w="120" w:type="dxa"/>
              <w:bottom w:w="120" w:type="dxa"/>
              <w:left w:w="150" w:type="dxa"/>
              <w:right w:w="150" w:type="dxa"/>
            </w:tcMar>
            <w:shd w:fill="FFFFFF"/>
          </w:tcPr>
          <w:p>
            <w:pPr>
              <w:spacing w:before="40" w:after="40"/>
            </w:pPr>
            <w:r>
              <w:rPr>
                <w:rFonts w:ascii="Calibri" w:hAnsi="Calibri"/>
                <w:color w:val="1E293B"/>
                <w:sz w:val="18"/>
              </w:rPr>
              <w:t>Manikanta Nandyala / Ash Montebello</w:t>
            </w:r>
          </w:p>
        </w:tc>
        <w:tc>
          <w:tcPr>
            <w:tcW w:type="dxa" w:w="1152"/>
            <w:tcMar>
              <w:top w:w="120" w:type="dxa"/>
              <w:bottom w:w="120" w:type="dxa"/>
              <w:left w:w="150" w:type="dxa"/>
              <w:right w:w="150" w:type="dxa"/>
            </w:tcMar>
            <w:shd w:fill="FFFFFF"/>
          </w:tcPr>
          <w:p>
            <w:pPr>
              <w:spacing w:before="40" w:after="40"/>
            </w:pPr>
            <w:r>
              <w:rPr>
                <w:rFonts w:ascii="Calibri" w:hAnsi="Calibri"/>
                <w:color w:val="1E293B"/>
                <w:sz w:val="18"/>
              </w:rPr>
              <w:t>P1: &lt; 15 min</w:t>
              <w:br/>
              <w:t>P2: &lt; 1 hr</w:t>
            </w:r>
          </w:p>
        </w:tc>
      </w:tr>
      <w:tr>
        <w:trPr>
          <w:cantSplit/>
        </w:trPr>
        <w:tc>
          <w:tcPr>
            <w:tcW w:type="dxa" w:w="1296"/>
            <w:tcMar>
              <w:top w:w="120" w:type="dxa"/>
              <w:bottom w:w="120" w:type="dxa"/>
              <w:left w:w="150" w:type="dxa"/>
              <w:right w:w="150" w:type="dxa"/>
            </w:tcMar>
            <w:shd w:fill="F8FAFC"/>
          </w:tcPr>
          <w:p>
            <w:pPr>
              <w:spacing w:before="40" w:after="40"/>
            </w:pPr>
            <w:r>
              <w:rPr>
                <w:rFonts w:ascii="Calibri" w:hAnsi="Calibri"/>
                <w:color w:val="1E293B"/>
                <w:sz w:val="18"/>
              </w:rPr>
              <w:t>VMware</w:t>
            </w:r>
          </w:p>
        </w:tc>
        <w:tc>
          <w:tcPr>
            <w:tcW w:type="dxa" w:w="1440"/>
            <w:tcMar>
              <w:top w:w="120" w:type="dxa"/>
              <w:bottom w:w="120" w:type="dxa"/>
              <w:left w:w="150" w:type="dxa"/>
              <w:right w:w="150" w:type="dxa"/>
            </w:tcMar>
            <w:shd w:fill="F8FAFC"/>
          </w:tcPr>
          <w:p>
            <w:pPr>
              <w:spacing w:before="40" w:after="40"/>
            </w:pPr>
            <w:r>
              <w:rPr>
                <w:rFonts w:ascii="Calibri" w:hAnsi="Calibri"/>
                <w:color w:val="1E293B"/>
                <w:sz w:val="18"/>
              </w:rPr>
              <w:t>NSX / vSphere Underlay</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Production Support</w:t>
            </w:r>
          </w:p>
        </w:tc>
        <w:tc>
          <w:tcPr>
            <w:tcW w:type="dxa" w:w="1584"/>
            <w:tcMar>
              <w:top w:w="120" w:type="dxa"/>
              <w:bottom w:w="120" w:type="dxa"/>
              <w:left w:w="150" w:type="dxa"/>
              <w:right w:w="150" w:type="dxa"/>
            </w:tcMar>
            <w:shd w:fill="F8FAFC"/>
          </w:tcPr>
          <w:p>
            <w:pPr>
              <w:spacing w:before="40" w:after="40"/>
            </w:pPr>
            <w:r>
              <w:rPr>
                <w:rFonts w:ascii="Calibri" w:hAnsi="Calibri"/>
                <w:color w:val="1E293B"/>
                <w:sz w:val="18"/>
              </w:rPr>
              <w:t>customerconnect.vmware.com</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MDT-VSPHERE-CORE</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Wesley Merrick / L2 Lead</w:t>
            </w:r>
          </w:p>
        </w:tc>
        <w:tc>
          <w:tcPr>
            <w:tcW w:type="dxa" w:w="1152"/>
            <w:tcMar>
              <w:top w:w="120" w:type="dxa"/>
              <w:bottom w:w="120" w:type="dxa"/>
              <w:left w:w="150" w:type="dxa"/>
              <w:right w:w="150" w:type="dxa"/>
            </w:tcMar>
            <w:shd w:fill="F8FAFC"/>
          </w:tcPr>
          <w:p>
            <w:pPr>
              <w:spacing w:before="40" w:after="40"/>
            </w:pPr>
            <w:r>
              <w:rPr>
                <w:rFonts w:ascii="Calibri" w:hAnsi="Calibri"/>
                <w:color w:val="1E293B"/>
                <w:sz w:val="18"/>
              </w:rPr>
              <w:t>P1: &lt; 2 hrs</w:t>
              <w:br/>
              <w:t>P2: &lt; 4 hrs</w:t>
            </w:r>
          </w:p>
        </w:tc>
      </w:tr>
      <w:tr>
        <w:trPr>
          <w:cantSplit/>
        </w:trPr>
        <w:tc>
          <w:tcPr>
            <w:tcW w:type="dxa" w:w="1296"/>
            <w:tcMar>
              <w:top w:w="120" w:type="dxa"/>
              <w:bottom w:w="120" w:type="dxa"/>
              <w:left w:w="150" w:type="dxa"/>
              <w:right w:w="150" w:type="dxa"/>
            </w:tcMar>
            <w:shd w:fill="FFFFFF"/>
          </w:tcPr>
          <w:p>
            <w:pPr>
              <w:spacing w:before="40" w:after="40"/>
            </w:pPr>
            <w:r>
              <w:rPr>
                <w:rFonts w:ascii="Calibri" w:hAnsi="Calibri"/>
                <w:color w:val="1E293B"/>
                <w:sz w:val="18"/>
              </w:rPr>
              <w:t>GitLab</w:t>
            </w:r>
          </w:p>
        </w:tc>
        <w:tc>
          <w:tcPr>
            <w:tcW w:type="dxa" w:w="1440"/>
            <w:tcMar>
              <w:top w:w="120" w:type="dxa"/>
              <w:bottom w:w="120" w:type="dxa"/>
              <w:left w:w="150" w:type="dxa"/>
              <w:right w:w="150" w:type="dxa"/>
            </w:tcMar>
            <w:shd w:fill="FFFFFF"/>
          </w:tcPr>
          <w:p>
            <w:pPr>
              <w:spacing w:before="40" w:after="40"/>
            </w:pPr>
            <w:r>
              <w:rPr>
                <w:rFonts w:ascii="Calibri" w:hAnsi="Calibri"/>
                <w:color w:val="1E293B"/>
                <w:sz w:val="18"/>
              </w:rPr>
              <w:t>Source Code &amp; CI/CD Engine</w:t>
            </w:r>
          </w:p>
        </w:tc>
        <w:tc>
          <w:tcPr>
            <w:tcW w:type="dxa" w:w="1296"/>
            <w:tcMar>
              <w:top w:w="120" w:type="dxa"/>
              <w:bottom w:w="120" w:type="dxa"/>
              <w:left w:w="150" w:type="dxa"/>
              <w:right w:w="150" w:type="dxa"/>
            </w:tcMar>
            <w:shd w:fill="FFFFFF"/>
          </w:tcPr>
          <w:p>
            <w:pPr>
              <w:spacing w:before="40" w:after="40"/>
            </w:pPr>
            <w:r>
              <w:rPr>
                <w:rFonts w:ascii="Calibri" w:hAnsi="Calibri"/>
                <w:color w:val="1E293B"/>
                <w:sz w:val="18"/>
              </w:rPr>
              <w:t>Ultimate 24x7</w:t>
            </w:r>
          </w:p>
        </w:tc>
        <w:tc>
          <w:tcPr>
            <w:tcW w:type="dxa" w:w="1584"/>
            <w:tcMar>
              <w:top w:w="120" w:type="dxa"/>
              <w:bottom w:w="120" w:type="dxa"/>
              <w:left w:w="150" w:type="dxa"/>
              <w:right w:w="150" w:type="dxa"/>
            </w:tcMar>
            <w:shd w:fill="FFFFFF"/>
          </w:tcPr>
          <w:p>
            <w:pPr>
              <w:spacing w:before="40" w:after="40"/>
            </w:pPr>
            <w:r>
              <w:rPr>
                <w:rFonts w:ascii="Calibri" w:hAnsi="Calibri"/>
                <w:color w:val="1E293B"/>
                <w:sz w:val="18"/>
              </w:rPr>
              <w:t>support.gitlab.com</w:t>
            </w:r>
          </w:p>
        </w:tc>
        <w:tc>
          <w:tcPr>
            <w:tcW w:type="dxa" w:w="1296"/>
            <w:tcMar>
              <w:top w:w="120" w:type="dxa"/>
              <w:bottom w:w="120" w:type="dxa"/>
              <w:left w:w="150" w:type="dxa"/>
              <w:right w:w="150" w:type="dxa"/>
            </w:tcMar>
            <w:shd w:fill="FFFFFF"/>
          </w:tcPr>
          <w:p>
            <w:pPr>
              <w:spacing w:before="40" w:after="40"/>
            </w:pPr>
            <w:r>
              <w:rPr>
                <w:rFonts w:ascii="Calibri" w:hAnsi="Calibri"/>
                <w:color w:val="1E293B"/>
                <w:sz w:val="18"/>
              </w:rPr>
              <w:t>GL-ENT-ULT-9021</w:t>
            </w:r>
          </w:p>
        </w:tc>
        <w:tc>
          <w:tcPr>
            <w:tcW w:type="dxa" w:w="1296"/>
            <w:tcMar>
              <w:top w:w="120" w:type="dxa"/>
              <w:bottom w:w="120" w:type="dxa"/>
              <w:left w:w="150" w:type="dxa"/>
              <w:right w:w="150" w:type="dxa"/>
            </w:tcMar>
            <w:shd w:fill="FFFFFF"/>
          </w:tcPr>
          <w:p>
            <w:pPr>
              <w:spacing w:before="40" w:after="40"/>
            </w:pPr>
            <w:r>
              <w:rPr>
                <w:rFonts w:ascii="Calibri" w:hAnsi="Calibri"/>
                <w:color w:val="1E293B"/>
                <w:sz w:val="18"/>
              </w:rPr>
              <w:t>Ash Montebello / William Urrea</w:t>
            </w:r>
          </w:p>
        </w:tc>
        <w:tc>
          <w:tcPr>
            <w:tcW w:type="dxa" w:w="1152"/>
            <w:tcMar>
              <w:top w:w="120" w:type="dxa"/>
              <w:bottom w:w="120" w:type="dxa"/>
              <w:left w:w="150" w:type="dxa"/>
              <w:right w:w="150" w:type="dxa"/>
            </w:tcMar>
            <w:shd w:fill="FFFFFF"/>
          </w:tcPr>
          <w:p>
            <w:pPr>
              <w:spacing w:before="40" w:after="40"/>
            </w:pPr>
            <w:r>
              <w:rPr>
                <w:rFonts w:ascii="Calibri" w:hAnsi="Calibri"/>
                <w:color w:val="1E293B"/>
                <w:sz w:val="18"/>
              </w:rPr>
              <w:t>P1: &lt; 30 min</w:t>
              <w:br/>
              <w:t>P2: &lt; 2 hrs</w:t>
            </w:r>
          </w:p>
        </w:tc>
      </w:tr>
      <w:tr>
        <w:trPr>
          <w:cantSplit/>
        </w:trPr>
        <w:tc>
          <w:tcPr>
            <w:tcW w:type="dxa" w:w="1296"/>
            <w:tcMar>
              <w:top w:w="120" w:type="dxa"/>
              <w:bottom w:w="120" w:type="dxa"/>
              <w:left w:w="150" w:type="dxa"/>
              <w:right w:w="150" w:type="dxa"/>
            </w:tcMar>
            <w:shd w:fill="F8FAFC"/>
          </w:tcPr>
          <w:p>
            <w:pPr>
              <w:spacing w:before="40" w:after="40"/>
            </w:pPr>
            <w:r>
              <w:rPr>
                <w:rFonts w:ascii="Calibri" w:hAnsi="Calibri"/>
                <w:color w:val="1E293B"/>
                <w:sz w:val="18"/>
              </w:rPr>
              <w:t>JFrog</w:t>
            </w:r>
          </w:p>
        </w:tc>
        <w:tc>
          <w:tcPr>
            <w:tcW w:type="dxa" w:w="1440"/>
            <w:tcMar>
              <w:top w:w="120" w:type="dxa"/>
              <w:bottom w:w="120" w:type="dxa"/>
              <w:left w:w="150" w:type="dxa"/>
              <w:right w:w="150" w:type="dxa"/>
            </w:tcMar>
            <w:shd w:fill="F8FAFC"/>
          </w:tcPr>
          <w:p>
            <w:pPr>
              <w:spacing w:before="40" w:after="40"/>
            </w:pPr>
            <w:r>
              <w:rPr>
                <w:rFonts w:ascii="Calibri" w:hAnsi="Calibri"/>
                <w:color w:val="1E293B"/>
                <w:sz w:val="18"/>
              </w:rPr>
              <w:t>Artifactory Binary Hub</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Platinum Enterprise</w:t>
            </w:r>
          </w:p>
        </w:tc>
        <w:tc>
          <w:tcPr>
            <w:tcW w:type="dxa" w:w="1584"/>
            <w:tcMar>
              <w:top w:w="120" w:type="dxa"/>
              <w:bottom w:w="120" w:type="dxa"/>
              <w:left w:w="150" w:type="dxa"/>
              <w:right w:w="150" w:type="dxa"/>
            </w:tcMar>
            <w:shd w:fill="F8FAFC"/>
          </w:tcPr>
          <w:p>
            <w:pPr>
              <w:spacing w:before="40" w:after="40"/>
            </w:pPr>
            <w:r>
              <w:rPr>
                <w:rFonts w:ascii="Calibri" w:hAnsi="Calibri"/>
                <w:color w:val="1E293B"/>
                <w:sz w:val="18"/>
              </w:rPr>
              <w:t>support.jfrog.com</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JFROG-PLAT-MDT-04</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Tim Anderson / Marcela Lara</w:t>
            </w:r>
          </w:p>
        </w:tc>
        <w:tc>
          <w:tcPr>
            <w:tcW w:type="dxa" w:w="1152"/>
            <w:tcMar>
              <w:top w:w="120" w:type="dxa"/>
              <w:bottom w:w="120" w:type="dxa"/>
              <w:left w:w="150" w:type="dxa"/>
              <w:right w:w="150" w:type="dxa"/>
            </w:tcMar>
            <w:shd w:fill="F8FAFC"/>
          </w:tcPr>
          <w:p>
            <w:pPr>
              <w:spacing w:before="40" w:after="40"/>
            </w:pPr>
            <w:r>
              <w:rPr>
                <w:rFonts w:ascii="Calibri" w:hAnsi="Calibri"/>
                <w:color w:val="1E293B"/>
                <w:sz w:val="18"/>
              </w:rPr>
              <w:t>P1: &lt; 1 hr</w:t>
              <w:br/>
              <w:t>P2: &lt; 4 hrs</w:t>
            </w:r>
          </w:p>
        </w:tc>
      </w:tr>
      <w:tr>
        <w:trPr>
          <w:cantSplit/>
        </w:trPr>
        <w:tc>
          <w:tcPr>
            <w:tcW w:type="dxa" w:w="1296"/>
            <w:tcMar>
              <w:top w:w="120" w:type="dxa"/>
              <w:bottom w:w="120" w:type="dxa"/>
              <w:left w:w="150" w:type="dxa"/>
              <w:right w:w="150" w:type="dxa"/>
            </w:tcMar>
            <w:shd w:fill="FFFFFF"/>
          </w:tcPr>
          <w:p>
            <w:pPr>
              <w:spacing w:before="40" w:after="40"/>
            </w:pPr>
            <w:r>
              <w:rPr>
                <w:rFonts w:ascii="Calibri" w:hAnsi="Calibri"/>
                <w:color w:val="1E293B"/>
                <w:sz w:val="18"/>
              </w:rPr>
              <w:t>PostgreSQL</w:t>
            </w:r>
          </w:p>
        </w:tc>
        <w:tc>
          <w:tcPr>
            <w:tcW w:type="dxa" w:w="1440"/>
            <w:tcMar>
              <w:top w:w="120" w:type="dxa"/>
              <w:bottom w:w="120" w:type="dxa"/>
              <w:left w:w="150" w:type="dxa"/>
              <w:right w:w="150" w:type="dxa"/>
            </w:tcMar>
            <w:shd w:fill="FFFFFF"/>
          </w:tcPr>
          <w:p>
            <w:pPr>
              <w:spacing w:before="40" w:after="40"/>
            </w:pPr>
            <w:r>
              <w:rPr>
                <w:rFonts w:ascii="Calibri" w:hAnsi="Calibri"/>
                <w:color w:val="1E293B"/>
                <w:sz w:val="18"/>
              </w:rPr>
              <w:t>Database Services</w:t>
            </w:r>
          </w:p>
        </w:tc>
        <w:tc>
          <w:tcPr>
            <w:tcW w:type="dxa" w:w="1296"/>
            <w:tcMar>
              <w:top w:w="120" w:type="dxa"/>
              <w:bottom w:w="120" w:type="dxa"/>
              <w:left w:w="150" w:type="dxa"/>
              <w:right w:w="150" w:type="dxa"/>
            </w:tcMar>
            <w:shd w:fill="FFFFFF"/>
          </w:tcPr>
          <w:p>
            <w:pPr>
              <w:spacing w:before="40" w:after="40"/>
            </w:pPr>
            <w:r>
              <w:rPr>
                <w:rFonts w:ascii="Calibri" w:hAnsi="Calibri"/>
                <w:color w:val="1E293B"/>
                <w:sz w:val="18"/>
              </w:rPr>
              <w:t>Enterprise DB Support</w:t>
            </w:r>
          </w:p>
        </w:tc>
        <w:tc>
          <w:tcPr>
            <w:tcW w:type="dxa" w:w="1584"/>
            <w:tcMar>
              <w:top w:w="120" w:type="dxa"/>
              <w:bottom w:w="120" w:type="dxa"/>
              <w:left w:w="150" w:type="dxa"/>
              <w:right w:w="150" w:type="dxa"/>
            </w:tcMar>
            <w:shd w:fill="FFFFFF"/>
          </w:tcPr>
          <w:p>
            <w:pPr>
              <w:spacing w:before="40" w:after="40"/>
            </w:pPr>
            <w:r>
              <w:rPr>
                <w:rFonts w:ascii="Calibri" w:hAnsi="Calibri"/>
                <w:color w:val="1E293B"/>
                <w:sz w:val="18"/>
              </w:rPr>
              <w:t>support.enterprisedb.com</w:t>
            </w:r>
          </w:p>
        </w:tc>
        <w:tc>
          <w:tcPr>
            <w:tcW w:type="dxa" w:w="1296"/>
            <w:tcMar>
              <w:top w:w="120" w:type="dxa"/>
              <w:bottom w:w="120" w:type="dxa"/>
              <w:left w:w="150" w:type="dxa"/>
              <w:right w:w="150" w:type="dxa"/>
            </w:tcMar>
            <w:shd w:fill="FFFFFF"/>
          </w:tcPr>
          <w:p>
            <w:pPr>
              <w:spacing w:before="40" w:after="40"/>
            </w:pPr>
            <w:r>
              <w:rPr>
                <w:rFonts w:ascii="Calibri" w:hAnsi="Calibri"/>
                <w:color w:val="1E293B"/>
                <w:sz w:val="18"/>
              </w:rPr>
              <w:t>EDB-PGSQL-PROD-77</w:t>
            </w:r>
          </w:p>
        </w:tc>
        <w:tc>
          <w:tcPr>
            <w:tcW w:type="dxa" w:w="1296"/>
            <w:tcMar>
              <w:top w:w="120" w:type="dxa"/>
              <w:bottom w:w="120" w:type="dxa"/>
              <w:left w:w="150" w:type="dxa"/>
              <w:right w:w="150" w:type="dxa"/>
            </w:tcMar>
            <w:shd w:fill="FFFFFF"/>
          </w:tcPr>
          <w:p>
            <w:pPr>
              <w:spacing w:before="40" w:after="40"/>
            </w:pPr>
            <w:r>
              <w:rPr>
                <w:rFonts w:ascii="Calibri" w:hAnsi="Calibri"/>
                <w:color w:val="1E293B"/>
                <w:sz w:val="18"/>
              </w:rPr>
              <w:t>Kevin Campbell / L2 Lead</w:t>
            </w:r>
          </w:p>
        </w:tc>
        <w:tc>
          <w:tcPr>
            <w:tcW w:type="dxa" w:w="1152"/>
            <w:tcMar>
              <w:top w:w="120" w:type="dxa"/>
              <w:bottom w:w="120" w:type="dxa"/>
              <w:left w:w="150" w:type="dxa"/>
              <w:right w:w="150" w:type="dxa"/>
            </w:tcMar>
            <w:shd w:fill="FFFFFF"/>
          </w:tcPr>
          <w:p>
            <w:pPr>
              <w:spacing w:before="40" w:after="40"/>
            </w:pPr>
            <w:r>
              <w:rPr>
                <w:rFonts w:ascii="Calibri" w:hAnsi="Calibri"/>
                <w:color w:val="1E293B"/>
                <w:sz w:val="18"/>
              </w:rPr>
              <w:t>P1: &lt; 1 hr</w:t>
              <w:br/>
              <w:t>P2: &lt; 4 hrs</w:t>
            </w:r>
          </w:p>
        </w:tc>
      </w:tr>
      <w:tr>
        <w:trPr>
          <w:cantSplit/>
        </w:trPr>
        <w:tc>
          <w:tcPr>
            <w:tcW w:type="dxa" w:w="1296"/>
            <w:tcMar>
              <w:top w:w="120" w:type="dxa"/>
              <w:bottom w:w="120" w:type="dxa"/>
              <w:left w:w="150" w:type="dxa"/>
              <w:right w:w="150" w:type="dxa"/>
            </w:tcMar>
            <w:shd w:fill="F8FAFC"/>
          </w:tcPr>
          <w:p>
            <w:pPr>
              <w:spacing w:before="40" w:after="40"/>
            </w:pPr>
            <w:r>
              <w:rPr>
                <w:rFonts w:ascii="Calibri" w:hAnsi="Calibri"/>
                <w:color w:val="1E293B"/>
                <w:sz w:val="18"/>
              </w:rPr>
              <w:t>Check Point</w:t>
            </w:r>
          </w:p>
        </w:tc>
        <w:tc>
          <w:tcPr>
            <w:tcW w:type="dxa" w:w="1440"/>
            <w:tcMar>
              <w:top w:w="120" w:type="dxa"/>
              <w:bottom w:w="120" w:type="dxa"/>
              <w:left w:w="150" w:type="dxa"/>
              <w:right w:w="150" w:type="dxa"/>
            </w:tcMar>
            <w:shd w:fill="F8FAFC"/>
          </w:tcPr>
          <w:p>
            <w:pPr>
              <w:spacing w:before="40" w:after="40"/>
            </w:pPr>
            <w:r>
              <w:rPr>
                <w:rFonts w:ascii="Calibri" w:hAnsi="Calibri"/>
                <w:color w:val="1E293B"/>
                <w:sz w:val="18"/>
              </w:rPr>
              <w:t>CloudGuard / Dome9</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Direct Enterprise</w:t>
            </w:r>
          </w:p>
        </w:tc>
        <w:tc>
          <w:tcPr>
            <w:tcW w:type="dxa" w:w="1584"/>
            <w:tcMar>
              <w:top w:w="120" w:type="dxa"/>
              <w:bottom w:w="120" w:type="dxa"/>
              <w:left w:w="150" w:type="dxa"/>
              <w:right w:w="150" w:type="dxa"/>
            </w:tcMar>
            <w:shd w:fill="F8FAFC"/>
          </w:tcPr>
          <w:p>
            <w:pPr>
              <w:spacing w:before="40" w:after="40"/>
            </w:pPr>
            <w:r>
              <w:rPr>
                <w:rFonts w:ascii="Calibri" w:hAnsi="Calibri"/>
                <w:color w:val="1E293B"/>
                <w:sz w:val="18"/>
              </w:rPr>
              <w:t>usercenter.checkpoint.com</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CP-DOME9-ENT-11</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Security Ops / L3 Lead</w:t>
            </w:r>
          </w:p>
        </w:tc>
        <w:tc>
          <w:tcPr>
            <w:tcW w:type="dxa" w:w="1152"/>
            <w:tcMar>
              <w:top w:w="120" w:type="dxa"/>
              <w:bottom w:w="120" w:type="dxa"/>
              <w:left w:w="150" w:type="dxa"/>
              <w:right w:w="150" w:type="dxa"/>
            </w:tcMar>
            <w:shd w:fill="F8FAFC"/>
          </w:tcPr>
          <w:p>
            <w:pPr>
              <w:spacing w:before="40" w:after="40"/>
            </w:pPr>
            <w:r>
              <w:rPr>
                <w:rFonts w:ascii="Calibri" w:hAnsi="Calibri"/>
                <w:color w:val="1E293B"/>
                <w:sz w:val="18"/>
              </w:rPr>
              <w:t>P1: &lt; 2 hrs</w:t>
              <w:br/>
              <w:t>P2: &lt; 6 hrs</w:t>
            </w:r>
          </w:p>
        </w:tc>
      </w:tr>
      <w:tr>
        <w:trPr>
          <w:cantSplit/>
        </w:trPr>
        <w:tc>
          <w:tcPr>
            <w:tcW w:type="dxa" w:w="1296"/>
            <w:tcMar>
              <w:top w:w="120" w:type="dxa"/>
              <w:bottom w:w="120" w:type="dxa"/>
              <w:left w:w="150" w:type="dxa"/>
              <w:right w:w="150" w:type="dxa"/>
            </w:tcMar>
            <w:shd w:fill="FFFFFF"/>
          </w:tcPr>
          <w:p>
            <w:pPr>
              <w:spacing w:before="40" w:after="40"/>
            </w:pPr>
            <w:r>
              <w:rPr>
                <w:rFonts w:ascii="Calibri" w:hAnsi="Calibri"/>
                <w:color w:val="1E293B"/>
                <w:sz w:val="18"/>
              </w:rPr>
              <w:t>Grafana Labs</w:t>
            </w:r>
          </w:p>
        </w:tc>
        <w:tc>
          <w:tcPr>
            <w:tcW w:type="dxa" w:w="1440"/>
            <w:tcMar>
              <w:top w:w="120" w:type="dxa"/>
              <w:bottom w:w="120" w:type="dxa"/>
              <w:left w:w="150" w:type="dxa"/>
              <w:right w:w="150" w:type="dxa"/>
            </w:tcMar>
            <w:shd w:fill="FFFFFF"/>
          </w:tcPr>
          <w:p>
            <w:pPr>
              <w:spacing w:before="40" w:after="40"/>
            </w:pPr>
            <w:r>
              <w:rPr>
                <w:rFonts w:ascii="Calibri" w:hAnsi="Calibri"/>
                <w:color w:val="1E293B"/>
                <w:sz w:val="18"/>
              </w:rPr>
              <w:t>Observability &amp; Alerting</w:t>
            </w:r>
          </w:p>
        </w:tc>
        <w:tc>
          <w:tcPr>
            <w:tcW w:type="dxa" w:w="1296"/>
            <w:tcMar>
              <w:top w:w="120" w:type="dxa"/>
              <w:bottom w:w="120" w:type="dxa"/>
              <w:left w:w="150" w:type="dxa"/>
              <w:right w:w="150" w:type="dxa"/>
            </w:tcMar>
            <w:shd w:fill="FFFFFF"/>
          </w:tcPr>
          <w:p>
            <w:pPr>
              <w:spacing w:before="40" w:after="40"/>
            </w:pPr>
            <w:r>
              <w:rPr>
                <w:rFonts w:ascii="Calibri" w:hAnsi="Calibri"/>
                <w:color w:val="1E293B"/>
                <w:sz w:val="18"/>
              </w:rPr>
              <w:t>Enterprise Support</w:t>
            </w:r>
          </w:p>
        </w:tc>
        <w:tc>
          <w:tcPr>
            <w:tcW w:type="dxa" w:w="1584"/>
            <w:tcMar>
              <w:top w:w="120" w:type="dxa"/>
              <w:bottom w:w="120" w:type="dxa"/>
              <w:left w:w="150" w:type="dxa"/>
              <w:right w:w="150" w:type="dxa"/>
            </w:tcMar>
            <w:shd w:fill="FFFFFF"/>
          </w:tcPr>
          <w:p>
            <w:pPr>
              <w:spacing w:before="40" w:after="40"/>
            </w:pPr>
            <w:r>
              <w:rPr>
                <w:rFonts w:ascii="Calibri" w:hAnsi="Calibri"/>
                <w:color w:val="1E293B"/>
                <w:sz w:val="18"/>
              </w:rPr>
              <w:t>grafana.com/support</w:t>
            </w:r>
          </w:p>
        </w:tc>
        <w:tc>
          <w:tcPr>
            <w:tcW w:type="dxa" w:w="1296"/>
            <w:tcMar>
              <w:top w:w="120" w:type="dxa"/>
              <w:bottom w:w="120" w:type="dxa"/>
              <w:left w:w="150" w:type="dxa"/>
              <w:right w:w="150" w:type="dxa"/>
            </w:tcMar>
            <w:shd w:fill="FFFFFF"/>
          </w:tcPr>
          <w:p>
            <w:pPr>
              <w:spacing w:before="40" w:after="40"/>
            </w:pPr>
            <w:r>
              <w:rPr>
                <w:rFonts w:ascii="Calibri" w:hAnsi="Calibri"/>
                <w:color w:val="1E293B"/>
                <w:sz w:val="18"/>
              </w:rPr>
              <w:t>GRAF-ENT-MDT-32</w:t>
            </w:r>
          </w:p>
        </w:tc>
        <w:tc>
          <w:tcPr>
            <w:tcW w:type="dxa" w:w="1296"/>
            <w:tcMar>
              <w:top w:w="120" w:type="dxa"/>
              <w:bottom w:w="120" w:type="dxa"/>
              <w:left w:w="150" w:type="dxa"/>
              <w:right w:w="150" w:type="dxa"/>
            </w:tcMar>
            <w:shd w:fill="FFFFFF"/>
          </w:tcPr>
          <w:p>
            <w:pPr>
              <w:spacing w:before="40" w:after="40"/>
            </w:pPr>
            <w:r>
              <w:rPr>
                <w:rFonts w:ascii="Calibri" w:hAnsi="Calibri"/>
                <w:color w:val="1E293B"/>
                <w:sz w:val="18"/>
              </w:rPr>
              <w:t>Ash Montebello / L1 Lead</w:t>
            </w:r>
          </w:p>
        </w:tc>
        <w:tc>
          <w:tcPr>
            <w:tcW w:type="dxa" w:w="1152"/>
            <w:tcMar>
              <w:top w:w="120" w:type="dxa"/>
              <w:bottom w:w="120" w:type="dxa"/>
              <w:left w:w="150" w:type="dxa"/>
              <w:right w:w="150" w:type="dxa"/>
            </w:tcMar>
            <w:shd w:fill="FFFFFF"/>
          </w:tcPr>
          <w:p>
            <w:pPr>
              <w:spacing w:before="40" w:after="40"/>
            </w:pPr>
            <w:r>
              <w:rPr>
                <w:rFonts w:ascii="Calibri" w:hAnsi="Calibri"/>
                <w:color w:val="1E293B"/>
                <w:sz w:val="18"/>
              </w:rPr>
              <w:t>P1: &lt; 1 hr</w:t>
              <w:br/>
              <w:t>P2: &lt; 4 hrs</w:t>
            </w:r>
          </w:p>
        </w:tc>
      </w:tr>
      <w:tr>
        <w:trPr>
          <w:cantSplit/>
        </w:trPr>
        <w:tc>
          <w:tcPr>
            <w:tcW w:type="dxa" w:w="1296"/>
            <w:tcMar>
              <w:top w:w="120" w:type="dxa"/>
              <w:bottom w:w="120" w:type="dxa"/>
              <w:left w:w="150" w:type="dxa"/>
              <w:right w:w="150" w:type="dxa"/>
            </w:tcMar>
            <w:shd w:fill="F8FAFC"/>
          </w:tcPr>
          <w:p>
            <w:pPr>
              <w:spacing w:before="40" w:after="40"/>
            </w:pPr>
            <w:r>
              <w:rPr>
                <w:rFonts w:ascii="Calibri" w:hAnsi="Calibri"/>
                <w:color w:val="1E293B"/>
                <w:sz w:val="18"/>
              </w:rPr>
              <w:t>Dynatrace</w:t>
            </w:r>
          </w:p>
        </w:tc>
        <w:tc>
          <w:tcPr>
            <w:tcW w:type="dxa" w:w="1440"/>
            <w:tcMar>
              <w:top w:w="120" w:type="dxa"/>
              <w:bottom w:w="120" w:type="dxa"/>
              <w:left w:w="150" w:type="dxa"/>
              <w:right w:w="150" w:type="dxa"/>
            </w:tcMar>
            <w:shd w:fill="F8FAFC"/>
          </w:tcPr>
          <w:p>
            <w:pPr>
              <w:spacing w:before="40" w:after="40"/>
            </w:pPr>
            <w:r>
              <w:rPr>
                <w:rFonts w:ascii="Calibri" w:hAnsi="Calibri"/>
                <w:color w:val="1E293B"/>
                <w:sz w:val="18"/>
              </w:rPr>
              <w:t>APM &amp; Cluster Diagnostics</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Enterprise Premier</w:t>
            </w:r>
          </w:p>
        </w:tc>
        <w:tc>
          <w:tcPr>
            <w:tcW w:type="dxa" w:w="1584"/>
            <w:tcMar>
              <w:top w:w="120" w:type="dxa"/>
              <w:bottom w:w="120" w:type="dxa"/>
              <w:left w:w="150" w:type="dxa"/>
              <w:right w:w="150" w:type="dxa"/>
            </w:tcMar>
            <w:shd w:fill="F8FAFC"/>
          </w:tcPr>
          <w:p>
            <w:pPr>
              <w:spacing w:before="40" w:after="40"/>
            </w:pPr>
            <w:r>
              <w:rPr>
                <w:rFonts w:ascii="Calibri" w:hAnsi="Calibri"/>
                <w:color w:val="1E293B"/>
                <w:sz w:val="18"/>
              </w:rPr>
              <w:t>one.dynatrace.com/support</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DYNA-PREM-MDT-88</w:t>
            </w:r>
          </w:p>
        </w:tc>
        <w:tc>
          <w:tcPr>
            <w:tcW w:type="dxa" w:w="1296"/>
            <w:tcMar>
              <w:top w:w="120" w:type="dxa"/>
              <w:bottom w:w="120" w:type="dxa"/>
              <w:left w:w="150" w:type="dxa"/>
              <w:right w:w="150" w:type="dxa"/>
            </w:tcMar>
            <w:shd w:fill="F8FAFC"/>
          </w:tcPr>
          <w:p>
            <w:pPr>
              <w:spacing w:before="40" w:after="40"/>
            </w:pPr>
            <w:r>
              <w:rPr>
                <w:rFonts w:ascii="Calibri" w:hAnsi="Calibri"/>
                <w:color w:val="1E293B"/>
                <w:sz w:val="18"/>
              </w:rPr>
              <w:t>Wesley Merrick / Daniel Cure</w:t>
            </w:r>
          </w:p>
        </w:tc>
        <w:tc>
          <w:tcPr>
            <w:tcW w:type="dxa" w:w="1152"/>
            <w:tcMar>
              <w:top w:w="120" w:type="dxa"/>
              <w:bottom w:w="120" w:type="dxa"/>
              <w:left w:w="150" w:type="dxa"/>
              <w:right w:w="150" w:type="dxa"/>
            </w:tcMar>
            <w:shd w:fill="F8FAFC"/>
          </w:tcPr>
          <w:p>
            <w:pPr>
              <w:spacing w:before="40" w:after="40"/>
            </w:pPr>
            <w:r>
              <w:rPr>
                <w:rFonts w:ascii="Calibri" w:hAnsi="Calibri"/>
                <w:color w:val="1E293B"/>
                <w:sz w:val="18"/>
              </w:rPr>
              <w:t>P1: &lt; 1 hr</w:t>
              <w:br/>
              <w:t>P2: &lt; 4 hrs</w:t>
            </w:r>
          </w:p>
        </w:tc>
      </w:tr>
    </w:tbl>
    <w:p>
      <w:pPr>
        <w:spacing w:after="120"/>
      </w:pPr>
    </w:p>
    <w:p>
      <w:pPr>
        <w:keepNext/>
        <w:spacing w:before="320" w:after="120"/>
      </w:pPr>
      <w:r>
        <w:rPr>
          <w:rFonts w:ascii="Calibri" w:hAnsi="Calibri"/>
          <w:b/>
          <w:color w:val="1E3A8A"/>
          <w:sz w:val="28"/>
        </w:rPr>
        <w:t>6. Service Level Agreements (SLAs) &amp; Prioritization Framework</w:t>
      </w:r>
    </w:p>
    <w:p>
      <w:pPr>
        <w:keepNext/>
        <w:spacing w:before="240" w:after="80"/>
      </w:pPr>
      <w:r>
        <w:rPr>
          <w:rFonts w:ascii="Calibri" w:hAnsi="Calibri"/>
          <w:b/>
          <w:color w:val="0F766E"/>
          <w:sz w:val="24"/>
        </w:rPr>
        <w:t>6.1 Incident Priority Matrix (Impact vs. Urgency)</w:t>
      </w:r>
    </w:p>
    <w:p>
      <w:pPr>
        <w:spacing w:after="120"/>
      </w:pPr>
      <w:r>
        <w:t>Incidents are systematically categorized by intersecting business impact with operational urgency:</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3600"/>
            <w:tcMar>
              <w:top w:w="120" w:type="dxa"/>
              <w:bottom w:w="120" w:type="dxa"/>
              <w:left w:w="150" w:type="dxa"/>
              <w:right w:w="150" w:type="dxa"/>
            </w:tcMar>
            <w:shd w:fill="1E3A8A"/>
          </w:tcPr>
          <w:p>
            <w:pPr>
              <w:spacing w:before="40" w:after="40"/>
              <w:jc w:val="left"/>
            </w:pPr>
            <w:r>
              <w:rPr>
                <w:rFonts w:ascii="Calibri" w:hAnsi="Calibri"/>
                <w:b/>
                <w:color w:val="FFFFFF"/>
                <w:sz w:val="19"/>
              </w:rPr>
              <w:t>Impact Level \ Urgency Level</w:t>
            </w:r>
          </w:p>
        </w:tc>
        <w:tc>
          <w:tcPr>
            <w:tcW w:type="dxa" w:w="1872"/>
            <w:tcMar>
              <w:top w:w="120" w:type="dxa"/>
              <w:bottom w:w="120" w:type="dxa"/>
              <w:left w:w="150" w:type="dxa"/>
              <w:right w:w="150" w:type="dxa"/>
            </w:tcMar>
            <w:shd w:fill="1E3A8A"/>
          </w:tcPr>
          <w:p>
            <w:pPr>
              <w:spacing w:before="40" w:after="40"/>
              <w:jc w:val="center"/>
            </w:pPr>
            <w:r>
              <w:rPr>
                <w:rFonts w:ascii="Calibri" w:hAnsi="Calibri"/>
                <w:b/>
                <w:color w:val="FFFFFF"/>
                <w:sz w:val="19"/>
              </w:rPr>
              <w:t>High Urgency</w:t>
            </w:r>
          </w:p>
        </w:tc>
        <w:tc>
          <w:tcPr>
            <w:tcW w:type="dxa" w:w="1872"/>
            <w:tcMar>
              <w:top w:w="120" w:type="dxa"/>
              <w:bottom w:w="120" w:type="dxa"/>
              <w:left w:w="150" w:type="dxa"/>
              <w:right w:w="150" w:type="dxa"/>
            </w:tcMar>
            <w:shd w:fill="1E3A8A"/>
          </w:tcPr>
          <w:p>
            <w:pPr>
              <w:spacing w:before="40" w:after="40"/>
              <w:jc w:val="center"/>
            </w:pPr>
            <w:r>
              <w:rPr>
                <w:rFonts w:ascii="Calibri" w:hAnsi="Calibri"/>
                <w:b/>
                <w:color w:val="FFFFFF"/>
                <w:sz w:val="19"/>
              </w:rPr>
              <w:t>Medium Urgency</w:t>
            </w:r>
          </w:p>
        </w:tc>
        <w:tc>
          <w:tcPr>
            <w:tcW w:type="dxa" w:w="1872"/>
            <w:tcMar>
              <w:top w:w="120" w:type="dxa"/>
              <w:bottom w:w="120" w:type="dxa"/>
              <w:left w:w="150" w:type="dxa"/>
              <w:right w:w="150" w:type="dxa"/>
            </w:tcMar>
            <w:shd w:fill="1E3A8A"/>
          </w:tcPr>
          <w:p>
            <w:pPr>
              <w:spacing w:before="40" w:after="40"/>
              <w:jc w:val="center"/>
            </w:pPr>
            <w:r>
              <w:rPr>
                <w:rFonts w:ascii="Calibri" w:hAnsi="Calibri"/>
                <w:b/>
                <w:color w:val="FFFFFF"/>
                <w:sz w:val="19"/>
              </w:rPr>
              <w:t>Low Urgency</w:t>
            </w:r>
          </w:p>
        </w:tc>
      </w:tr>
      <w:tr>
        <w:trPr>
          <w:cantSplit/>
        </w:trPr>
        <w:tc>
          <w:tcPr>
            <w:tcW w:type="dxa" w:w="3600"/>
            <w:tcMar>
              <w:top w:w="120" w:type="dxa"/>
              <w:bottom w:w="120" w:type="dxa"/>
              <w:left w:w="150" w:type="dxa"/>
              <w:right w:w="150" w:type="dxa"/>
            </w:tcMar>
            <w:shd w:fill="F8FAFC"/>
          </w:tcPr>
          <w:p>
            <w:pPr>
              <w:spacing w:before="40" w:after="40"/>
              <w:jc w:val="left"/>
            </w:pPr>
            <w:r>
              <w:rPr>
                <w:rFonts w:ascii="Calibri" w:hAnsi="Calibri"/>
                <w:color w:val="1E293B"/>
                <w:sz w:val="18"/>
              </w:rPr>
              <w:t>High Impact</w:t>
              <w:br/>
              <w:t>(Cluster-wide outage, control-plane down, complete CI/CD halt)</w:t>
            </w:r>
          </w:p>
        </w:tc>
        <w:tc>
          <w:tcPr>
            <w:tcW w:type="dxa" w:w="1872"/>
            <w:tcMar>
              <w:top w:w="120" w:type="dxa"/>
              <w:bottom w:w="120" w:type="dxa"/>
              <w:left w:w="150" w:type="dxa"/>
              <w:right w:w="150" w:type="dxa"/>
            </w:tcMar>
            <w:shd w:fill="F8FAFC"/>
            <w:shd w:fill="FEE2E2"/>
          </w:tcPr>
          <w:p>
            <w:pPr>
              <w:spacing w:before="40" w:after="40"/>
              <w:jc w:val="center"/>
            </w:pPr>
            <w:r>
              <w:rPr>
                <w:rFonts w:ascii="Calibri" w:hAnsi="Calibri"/>
                <w:b/>
                <w:color w:val="B91C1C"/>
                <w:sz w:val="18"/>
              </w:rPr>
              <w:t>P1 — Critical</w:t>
            </w:r>
          </w:p>
        </w:tc>
        <w:tc>
          <w:tcPr>
            <w:tcW w:type="dxa" w:w="1872"/>
            <w:tcMar>
              <w:top w:w="120" w:type="dxa"/>
              <w:bottom w:w="120" w:type="dxa"/>
              <w:left w:w="150" w:type="dxa"/>
              <w:right w:w="150" w:type="dxa"/>
            </w:tcMar>
            <w:shd w:fill="F8FAFC"/>
            <w:shd w:fill="FEF3C7"/>
          </w:tcPr>
          <w:p>
            <w:pPr>
              <w:spacing w:before="40" w:after="40"/>
              <w:jc w:val="center"/>
            </w:pPr>
            <w:r>
              <w:rPr>
                <w:rFonts w:ascii="Calibri" w:hAnsi="Calibri"/>
                <w:b/>
                <w:color w:val="B45309"/>
                <w:sz w:val="18"/>
              </w:rPr>
              <w:t>P2 — High</w:t>
            </w:r>
          </w:p>
        </w:tc>
        <w:tc>
          <w:tcPr>
            <w:tcW w:type="dxa" w:w="1872"/>
            <w:tcMar>
              <w:top w:w="120" w:type="dxa"/>
              <w:bottom w:w="120" w:type="dxa"/>
              <w:left w:w="150" w:type="dxa"/>
              <w:right w:w="150" w:type="dxa"/>
            </w:tcMar>
            <w:shd w:fill="F8FAFC"/>
            <w:shd w:fill="E0F2FE"/>
          </w:tcPr>
          <w:p>
            <w:pPr>
              <w:spacing w:before="40" w:after="40"/>
              <w:jc w:val="center"/>
            </w:pPr>
            <w:r>
              <w:rPr>
                <w:rFonts w:ascii="Calibri" w:hAnsi="Calibri"/>
                <w:b/>
                <w:color w:val="0369A1"/>
                <w:sz w:val="18"/>
              </w:rPr>
              <w:t>P3 — Medium</w:t>
            </w:r>
          </w:p>
        </w:tc>
      </w:tr>
      <w:tr>
        <w:trPr>
          <w:cantSplit/>
        </w:trPr>
        <w:tc>
          <w:tcPr>
            <w:tcW w:type="dxa" w:w="3600"/>
            <w:tcMar>
              <w:top w:w="120" w:type="dxa"/>
              <w:bottom w:w="120" w:type="dxa"/>
              <w:left w:w="150" w:type="dxa"/>
              <w:right w:w="150" w:type="dxa"/>
            </w:tcMar>
            <w:shd w:fill="FFFFFF"/>
          </w:tcPr>
          <w:p>
            <w:pPr>
              <w:spacing w:before="40" w:after="40"/>
              <w:jc w:val="left"/>
            </w:pPr>
            <w:r>
              <w:rPr>
                <w:rFonts w:ascii="Calibri" w:hAnsi="Calibri"/>
                <w:color w:val="1E293B"/>
                <w:sz w:val="18"/>
              </w:rPr>
              <w:t>Medium Impact</w:t>
              <w:br/>
              <w:t>(Single worker node degraded, non-critical namespace issue)</w:t>
            </w:r>
          </w:p>
        </w:tc>
        <w:tc>
          <w:tcPr>
            <w:tcW w:type="dxa" w:w="1872"/>
            <w:tcMar>
              <w:top w:w="120" w:type="dxa"/>
              <w:bottom w:w="120" w:type="dxa"/>
              <w:left w:w="150" w:type="dxa"/>
              <w:right w:w="150" w:type="dxa"/>
            </w:tcMar>
            <w:shd w:fill="FFFFFF"/>
            <w:shd w:fill="FEF3C7"/>
          </w:tcPr>
          <w:p>
            <w:pPr>
              <w:spacing w:before="40" w:after="40"/>
              <w:jc w:val="center"/>
            </w:pPr>
            <w:r>
              <w:rPr>
                <w:rFonts w:ascii="Calibri" w:hAnsi="Calibri"/>
                <w:b/>
                <w:color w:val="B45309"/>
                <w:sz w:val="18"/>
              </w:rPr>
              <w:t>P2 — High</w:t>
            </w:r>
          </w:p>
        </w:tc>
        <w:tc>
          <w:tcPr>
            <w:tcW w:type="dxa" w:w="1872"/>
            <w:tcMar>
              <w:top w:w="120" w:type="dxa"/>
              <w:bottom w:w="120" w:type="dxa"/>
              <w:left w:w="150" w:type="dxa"/>
              <w:right w:w="150" w:type="dxa"/>
            </w:tcMar>
            <w:shd w:fill="FFFFFF"/>
            <w:shd w:fill="E0F2FE"/>
          </w:tcPr>
          <w:p>
            <w:pPr>
              <w:spacing w:before="40" w:after="40"/>
              <w:jc w:val="center"/>
            </w:pPr>
            <w:r>
              <w:rPr>
                <w:rFonts w:ascii="Calibri" w:hAnsi="Calibri"/>
                <w:b/>
                <w:color w:val="0369A1"/>
                <w:sz w:val="18"/>
              </w:rPr>
              <w:t>P3 — Medium</w:t>
            </w:r>
          </w:p>
        </w:tc>
        <w:tc>
          <w:tcPr>
            <w:tcW w:type="dxa" w:w="1872"/>
            <w:tcMar>
              <w:top w:w="120" w:type="dxa"/>
              <w:bottom w:w="120" w:type="dxa"/>
              <w:left w:w="150" w:type="dxa"/>
              <w:right w:w="150" w:type="dxa"/>
            </w:tcMar>
            <w:shd w:fill="FFFFFF"/>
            <w:shd w:fill="DCFCE7"/>
          </w:tcPr>
          <w:p>
            <w:pPr>
              <w:spacing w:before="40" w:after="40"/>
              <w:jc w:val="center"/>
            </w:pPr>
            <w:r>
              <w:rPr>
                <w:rFonts w:ascii="Calibri" w:hAnsi="Calibri"/>
                <w:b/>
                <w:color w:val="15803D"/>
                <w:sz w:val="18"/>
              </w:rPr>
              <w:t>P4 — Low</w:t>
            </w:r>
          </w:p>
        </w:tc>
      </w:tr>
      <w:tr>
        <w:trPr>
          <w:cantSplit/>
        </w:trPr>
        <w:tc>
          <w:tcPr>
            <w:tcW w:type="dxa" w:w="3600"/>
            <w:tcMar>
              <w:top w:w="120" w:type="dxa"/>
              <w:bottom w:w="120" w:type="dxa"/>
              <w:left w:w="150" w:type="dxa"/>
              <w:right w:w="150" w:type="dxa"/>
            </w:tcMar>
            <w:shd w:fill="F8FAFC"/>
          </w:tcPr>
          <w:p>
            <w:pPr>
              <w:spacing w:before="40" w:after="40"/>
              <w:jc w:val="left"/>
            </w:pPr>
            <w:r>
              <w:rPr>
                <w:rFonts w:ascii="Calibri" w:hAnsi="Calibri"/>
                <w:color w:val="1E293B"/>
                <w:sz w:val="18"/>
              </w:rPr>
              <w:t>Low Impact</w:t>
              <w:br/>
              <w:t>(Isolated user permission issue, cosmetic dashboard bug)</w:t>
            </w:r>
          </w:p>
        </w:tc>
        <w:tc>
          <w:tcPr>
            <w:tcW w:type="dxa" w:w="1872"/>
            <w:tcMar>
              <w:top w:w="120" w:type="dxa"/>
              <w:bottom w:w="120" w:type="dxa"/>
              <w:left w:w="150" w:type="dxa"/>
              <w:right w:w="150" w:type="dxa"/>
            </w:tcMar>
            <w:shd w:fill="F8FAFC"/>
            <w:shd w:fill="E0F2FE"/>
          </w:tcPr>
          <w:p>
            <w:pPr>
              <w:spacing w:before="40" w:after="40"/>
              <w:jc w:val="center"/>
            </w:pPr>
            <w:r>
              <w:rPr>
                <w:rFonts w:ascii="Calibri" w:hAnsi="Calibri"/>
                <w:b/>
                <w:color w:val="0369A1"/>
                <w:sz w:val="18"/>
              </w:rPr>
              <w:t>P3 — Medium</w:t>
            </w:r>
          </w:p>
        </w:tc>
        <w:tc>
          <w:tcPr>
            <w:tcW w:type="dxa" w:w="1872"/>
            <w:tcMar>
              <w:top w:w="120" w:type="dxa"/>
              <w:bottom w:w="120" w:type="dxa"/>
              <w:left w:w="150" w:type="dxa"/>
              <w:right w:w="150" w:type="dxa"/>
            </w:tcMar>
            <w:shd w:fill="F8FAFC"/>
            <w:shd w:fill="DCFCE7"/>
          </w:tcPr>
          <w:p>
            <w:pPr>
              <w:spacing w:before="40" w:after="40"/>
              <w:jc w:val="center"/>
            </w:pPr>
            <w:r>
              <w:rPr>
                <w:rFonts w:ascii="Calibri" w:hAnsi="Calibri"/>
                <w:b/>
                <w:color w:val="15803D"/>
                <w:sz w:val="18"/>
              </w:rPr>
              <w:t>P4 — Low</w:t>
            </w:r>
          </w:p>
        </w:tc>
        <w:tc>
          <w:tcPr>
            <w:tcW w:type="dxa" w:w="1872"/>
            <w:tcMar>
              <w:top w:w="120" w:type="dxa"/>
              <w:bottom w:w="120" w:type="dxa"/>
              <w:left w:w="150" w:type="dxa"/>
              <w:right w:w="150" w:type="dxa"/>
            </w:tcMar>
            <w:shd w:fill="F8FAFC"/>
            <w:shd w:fill="DCFCE7"/>
          </w:tcPr>
          <w:p>
            <w:pPr>
              <w:spacing w:before="40" w:after="40"/>
              <w:jc w:val="center"/>
            </w:pPr>
            <w:r>
              <w:rPr>
                <w:rFonts w:ascii="Calibri" w:hAnsi="Calibri"/>
                <w:b/>
                <w:color w:val="15803D"/>
                <w:sz w:val="18"/>
              </w:rPr>
              <w:t>P4 — Low</w:t>
            </w:r>
          </w:p>
        </w:tc>
      </w:tr>
    </w:tbl>
    <w:p>
      <w:pPr>
        <w:spacing w:after="120"/>
      </w:pPr>
    </w:p>
    <w:p>
      <w:pPr>
        <w:keepNext/>
        <w:spacing w:before="240" w:after="80"/>
      </w:pPr>
      <w:r>
        <w:rPr>
          <w:rFonts w:ascii="Calibri" w:hAnsi="Calibri"/>
          <w:b/>
          <w:color w:val="0F766E"/>
          <w:sz w:val="24"/>
        </w:rPr>
        <w:t>6.2 SLA Target Commitments</w:t>
      </w:r>
    </w:p>
    <w:p>
      <w:pPr>
        <w:spacing w:after="120"/>
      </w:pPr>
      <w:r>
        <w:t>Response time measures the duration from assignment in ServiceNow until the ticket is set to Work in Progress. Resolution time measures total duration until Resolved. SLA clocks pause strictly during valid awaiting states (Awaiting Customer Feedback, Pending Change, Awaiting Vendor, Pending Vendor Information).</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880"/>
            <w:tcMar>
              <w:top w:w="120" w:type="dxa"/>
              <w:bottom w:w="120" w:type="dxa"/>
              <w:left w:w="150" w:type="dxa"/>
              <w:right w:w="150" w:type="dxa"/>
            </w:tcMar>
            <w:shd w:fill="1E3A8A"/>
          </w:tcPr>
          <w:p>
            <w:pPr>
              <w:spacing w:before="40" w:after="40"/>
              <w:jc w:val="left"/>
            </w:pPr>
            <w:r>
              <w:rPr>
                <w:rFonts w:ascii="Calibri" w:hAnsi="Calibri"/>
                <w:b/>
                <w:color w:val="FFFFFF"/>
                <w:sz w:val="19"/>
              </w:rPr>
              <w:t>Priority Level</w:t>
            </w:r>
          </w:p>
        </w:tc>
        <w:tc>
          <w:tcPr>
            <w:tcW w:type="dxa" w:w="3168"/>
            <w:tcMar>
              <w:top w:w="120" w:type="dxa"/>
              <w:bottom w:w="120" w:type="dxa"/>
              <w:left w:w="150" w:type="dxa"/>
              <w:right w:w="150" w:type="dxa"/>
            </w:tcMar>
            <w:shd w:fill="1E3A8A"/>
          </w:tcPr>
          <w:p>
            <w:pPr>
              <w:spacing w:before="40" w:after="40"/>
              <w:jc w:val="left"/>
            </w:pPr>
            <w:r>
              <w:rPr>
                <w:rFonts w:ascii="Calibri" w:hAnsi="Calibri"/>
                <w:b/>
                <w:color w:val="FFFFFF"/>
                <w:sz w:val="19"/>
              </w:rPr>
              <w:t>Target Response Time SLA</w:t>
            </w:r>
          </w:p>
        </w:tc>
        <w:tc>
          <w:tcPr>
            <w:tcW w:type="dxa" w:w="3312"/>
            <w:tcMar>
              <w:top w:w="120" w:type="dxa"/>
              <w:bottom w:w="120" w:type="dxa"/>
              <w:left w:w="150" w:type="dxa"/>
              <w:right w:w="150" w:type="dxa"/>
            </w:tcMar>
            <w:shd w:fill="1E3A8A"/>
          </w:tcPr>
          <w:p>
            <w:pPr>
              <w:spacing w:before="40" w:after="40"/>
              <w:jc w:val="left"/>
            </w:pPr>
            <w:r>
              <w:rPr>
                <w:rFonts w:ascii="Calibri" w:hAnsi="Calibri"/>
                <w:b/>
                <w:color w:val="FFFFFF"/>
                <w:sz w:val="19"/>
              </w:rPr>
              <w:t>Target Resolution Time SLA</w:t>
            </w:r>
          </w:p>
        </w:tc>
      </w:tr>
      <w:tr>
        <w:trPr>
          <w:cantSplit/>
        </w:trPr>
        <w:tc>
          <w:tcPr>
            <w:tcW w:type="dxa" w:w="2880"/>
            <w:tcMar>
              <w:top w:w="120" w:type="dxa"/>
              <w:bottom w:w="120" w:type="dxa"/>
              <w:left w:w="150" w:type="dxa"/>
              <w:right w:w="150" w:type="dxa"/>
            </w:tcMar>
            <w:shd w:fill="F8FAFC"/>
          </w:tcPr>
          <w:p>
            <w:pPr>
              <w:spacing w:before="40" w:after="40"/>
              <w:jc w:val="left"/>
            </w:pPr>
            <w:r>
              <w:rPr>
                <w:rFonts w:ascii="Calibri" w:hAnsi="Calibri"/>
                <w:color w:val="1E293B"/>
                <w:sz w:val="18"/>
              </w:rPr>
              <w:t>Critical (P1)</w:t>
            </w:r>
          </w:p>
        </w:tc>
        <w:tc>
          <w:tcPr>
            <w:tcW w:type="dxa" w:w="3168"/>
            <w:tcMar>
              <w:top w:w="120" w:type="dxa"/>
              <w:bottom w:w="120" w:type="dxa"/>
              <w:left w:w="150" w:type="dxa"/>
              <w:right w:w="150" w:type="dxa"/>
            </w:tcMar>
            <w:shd w:fill="F8FAFC"/>
          </w:tcPr>
          <w:p>
            <w:pPr>
              <w:spacing w:before="40" w:after="40"/>
              <w:jc w:val="left"/>
            </w:pPr>
            <w:r>
              <w:rPr>
                <w:rFonts w:ascii="Calibri" w:hAnsi="Calibri"/>
                <w:color w:val="1E293B"/>
                <w:sz w:val="18"/>
              </w:rPr>
              <w:t>15 minutes</w:t>
            </w:r>
          </w:p>
        </w:tc>
        <w:tc>
          <w:tcPr>
            <w:tcW w:type="dxa" w:w="3312"/>
            <w:tcMar>
              <w:top w:w="120" w:type="dxa"/>
              <w:bottom w:w="120" w:type="dxa"/>
              <w:left w:w="150" w:type="dxa"/>
              <w:right w:w="150" w:type="dxa"/>
            </w:tcMar>
            <w:shd w:fill="F8FAFC"/>
          </w:tcPr>
          <w:p>
            <w:pPr>
              <w:spacing w:before="40" w:after="40"/>
              <w:jc w:val="left"/>
            </w:pPr>
            <w:r>
              <w:rPr>
                <w:rFonts w:ascii="Calibri" w:hAnsi="Calibri"/>
                <w:color w:val="1E293B"/>
                <w:sz w:val="18"/>
              </w:rPr>
              <w:t>Immediate to 4 hours</w:t>
            </w:r>
          </w:p>
        </w:tc>
      </w:tr>
      <w:tr>
        <w:trPr>
          <w:cantSplit/>
        </w:trPr>
        <w:tc>
          <w:tcPr>
            <w:tcW w:type="dxa" w:w="2880"/>
            <w:tcMar>
              <w:top w:w="120" w:type="dxa"/>
              <w:bottom w:w="120" w:type="dxa"/>
              <w:left w:w="150" w:type="dxa"/>
              <w:right w:w="150" w:type="dxa"/>
            </w:tcMar>
            <w:shd w:fill="FFFFFF"/>
          </w:tcPr>
          <w:p>
            <w:pPr>
              <w:spacing w:before="40" w:after="40"/>
              <w:jc w:val="left"/>
            </w:pPr>
            <w:r>
              <w:rPr>
                <w:rFonts w:ascii="Calibri" w:hAnsi="Calibri"/>
                <w:color w:val="1E293B"/>
                <w:sz w:val="18"/>
              </w:rPr>
              <w:t>High (P2)</w:t>
            </w:r>
          </w:p>
        </w:tc>
        <w:tc>
          <w:tcPr>
            <w:tcW w:type="dxa" w:w="3168"/>
            <w:tcMar>
              <w:top w:w="120" w:type="dxa"/>
              <w:bottom w:w="120" w:type="dxa"/>
              <w:left w:w="150" w:type="dxa"/>
              <w:right w:w="150" w:type="dxa"/>
            </w:tcMar>
            <w:shd w:fill="FFFFFF"/>
          </w:tcPr>
          <w:p>
            <w:pPr>
              <w:spacing w:before="40" w:after="40"/>
              <w:jc w:val="left"/>
            </w:pPr>
            <w:r>
              <w:rPr>
                <w:rFonts w:ascii="Calibri" w:hAnsi="Calibri"/>
                <w:color w:val="1E293B"/>
                <w:sz w:val="18"/>
              </w:rPr>
              <w:t>30 minutes</w:t>
            </w:r>
          </w:p>
        </w:tc>
        <w:tc>
          <w:tcPr>
            <w:tcW w:type="dxa" w:w="3312"/>
            <w:tcMar>
              <w:top w:w="120" w:type="dxa"/>
              <w:bottom w:w="120" w:type="dxa"/>
              <w:left w:w="150" w:type="dxa"/>
              <w:right w:w="150" w:type="dxa"/>
            </w:tcMar>
            <w:shd w:fill="FFFFFF"/>
          </w:tcPr>
          <w:p>
            <w:pPr>
              <w:spacing w:before="40" w:after="40"/>
              <w:jc w:val="left"/>
            </w:pPr>
            <w:r>
              <w:rPr>
                <w:rFonts w:ascii="Calibri" w:hAnsi="Calibri"/>
                <w:color w:val="1E293B"/>
                <w:sz w:val="18"/>
              </w:rPr>
              <w:t>Immediate to 8 hours</w:t>
            </w:r>
          </w:p>
        </w:tc>
      </w:tr>
      <w:tr>
        <w:trPr>
          <w:cantSplit/>
        </w:trPr>
        <w:tc>
          <w:tcPr>
            <w:tcW w:type="dxa" w:w="2880"/>
            <w:tcMar>
              <w:top w:w="120" w:type="dxa"/>
              <w:bottom w:w="120" w:type="dxa"/>
              <w:left w:w="150" w:type="dxa"/>
              <w:right w:w="150" w:type="dxa"/>
            </w:tcMar>
            <w:shd w:fill="F8FAFC"/>
          </w:tcPr>
          <w:p>
            <w:pPr>
              <w:spacing w:before="40" w:after="40"/>
              <w:jc w:val="left"/>
            </w:pPr>
            <w:r>
              <w:rPr>
                <w:rFonts w:ascii="Calibri" w:hAnsi="Calibri"/>
                <w:color w:val="1E293B"/>
                <w:sz w:val="18"/>
              </w:rPr>
              <w:t>Medium (P3)</w:t>
            </w:r>
          </w:p>
        </w:tc>
        <w:tc>
          <w:tcPr>
            <w:tcW w:type="dxa" w:w="3168"/>
            <w:tcMar>
              <w:top w:w="120" w:type="dxa"/>
              <w:bottom w:w="120" w:type="dxa"/>
              <w:left w:w="150" w:type="dxa"/>
              <w:right w:w="150" w:type="dxa"/>
            </w:tcMar>
            <w:shd w:fill="F8FAFC"/>
          </w:tcPr>
          <w:p>
            <w:pPr>
              <w:spacing w:before="40" w:after="40"/>
              <w:jc w:val="left"/>
            </w:pPr>
            <w:r>
              <w:rPr>
                <w:rFonts w:ascii="Calibri" w:hAnsi="Calibri"/>
                <w:color w:val="1E293B"/>
                <w:sz w:val="18"/>
              </w:rPr>
              <w:t>1 hour</w:t>
            </w:r>
          </w:p>
        </w:tc>
        <w:tc>
          <w:tcPr>
            <w:tcW w:type="dxa" w:w="3312"/>
            <w:tcMar>
              <w:top w:w="120" w:type="dxa"/>
              <w:bottom w:w="120" w:type="dxa"/>
              <w:left w:w="150" w:type="dxa"/>
              <w:right w:w="150" w:type="dxa"/>
            </w:tcMar>
            <w:shd w:fill="F8FAFC"/>
          </w:tcPr>
          <w:p>
            <w:pPr>
              <w:spacing w:before="40" w:after="40"/>
              <w:jc w:val="left"/>
            </w:pPr>
            <w:r>
              <w:rPr>
                <w:rFonts w:ascii="Calibri" w:hAnsi="Calibri"/>
                <w:color w:val="1E293B"/>
                <w:sz w:val="18"/>
              </w:rPr>
              <w:t>Immediate to 24 hours</w:t>
            </w:r>
          </w:p>
        </w:tc>
      </w:tr>
      <w:tr>
        <w:trPr>
          <w:cantSplit/>
        </w:trPr>
        <w:tc>
          <w:tcPr>
            <w:tcW w:type="dxa" w:w="2880"/>
            <w:tcMar>
              <w:top w:w="120" w:type="dxa"/>
              <w:bottom w:w="120" w:type="dxa"/>
              <w:left w:w="150" w:type="dxa"/>
              <w:right w:w="150" w:type="dxa"/>
            </w:tcMar>
            <w:shd w:fill="FFFFFF"/>
          </w:tcPr>
          <w:p>
            <w:pPr>
              <w:spacing w:before="40" w:after="40"/>
              <w:jc w:val="left"/>
            </w:pPr>
            <w:r>
              <w:rPr>
                <w:rFonts w:ascii="Calibri" w:hAnsi="Calibri"/>
                <w:color w:val="1E293B"/>
                <w:sz w:val="18"/>
              </w:rPr>
              <w:t>Low (P4)</w:t>
            </w:r>
          </w:p>
        </w:tc>
        <w:tc>
          <w:tcPr>
            <w:tcW w:type="dxa" w:w="3168"/>
            <w:tcMar>
              <w:top w:w="120" w:type="dxa"/>
              <w:bottom w:w="120" w:type="dxa"/>
              <w:left w:w="150" w:type="dxa"/>
              <w:right w:w="150" w:type="dxa"/>
            </w:tcMar>
            <w:shd w:fill="FFFFFF"/>
          </w:tcPr>
          <w:p>
            <w:pPr>
              <w:spacing w:before="40" w:after="40"/>
              <w:jc w:val="left"/>
            </w:pPr>
            <w:r>
              <w:rPr>
                <w:rFonts w:ascii="Calibri" w:hAnsi="Calibri"/>
                <w:color w:val="1E293B"/>
                <w:sz w:val="18"/>
              </w:rPr>
              <w:t>4 hours</w:t>
            </w:r>
          </w:p>
        </w:tc>
        <w:tc>
          <w:tcPr>
            <w:tcW w:type="dxa" w:w="3312"/>
            <w:tcMar>
              <w:top w:w="120" w:type="dxa"/>
              <w:bottom w:w="120" w:type="dxa"/>
              <w:left w:w="150" w:type="dxa"/>
              <w:right w:w="150" w:type="dxa"/>
            </w:tcMar>
            <w:shd w:fill="FFFFFF"/>
          </w:tcPr>
          <w:p>
            <w:pPr>
              <w:spacing w:before="40" w:after="40"/>
              <w:jc w:val="left"/>
            </w:pPr>
            <w:r>
              <w:rPr>
                <w:rFonts w:ascii="Calibri" w:hAnsi="Calibri"/>
                <w:color w:val="1E293B"/>
                <w:sz w:val="18"/>
              </w:rPr>
              <w:t>Immediate to 72 hours</w:t>
            </w:r>
          </w:p>
        </w:tc>
      </w:tr>
    </w:tbl>
    <w:p>
      <w:pPr>
        <w:spacing w:after="120"/>
      </w:pPr>
    </w:p>
    <w:p>
      <w:pPr>
        <w:keepNext/>
        <w:spacing w:before="320" w:after="120"/>
      </w:pPr>
      <w:r>
        <w:rPr>
          <w:rFonts w:ascii="Calibri" w:hAnsi="Calibri"/>
          <w:b/>
          <w:color w:val="1E3A8A"/>
          <w:sz w:val="28"/>
        </w:rPr>
        <w:t>7. Operational Incident Lifecycle &amp; Workflow</w:t>
      </w:r>
    </w:p>
    <w:p>
      <w:pPr>
        <w:spacing w:after="80"/>
      </w:pPr>
      <w:r>
        <w:rPr>
          <w:b/>
          <w:color w:val="1E3A8A"/>
        </w:rPr>
        <w:t xml:space="preserve">1. Detection &amp; Intake: </w:t>
      </w:r>
      <w:r>
        <w:t>Incidents are generated automatically via monitoring integration (Dynatrace/Grafana) or submitted by users through ServiceNow. Tickets are enriched with metric telemetry and alert IDs. Standard initial response is sent within SLA.</w:t>
      </w:r>
    </w:p>
    <w:p>
      <w:pPr>
        <w:spacing w:after="80"/>
      </w:pPr>
      <w:r>
        <w:rPr>
          <w:b/>
          <w:color w:val="1E3A8A"/>
        </w:rPr>
        <w:t xml:space="preserve">2. L1 Triage &amp; Execution: </w:t>
      </w:r>
      <w:r>
        <w:t>L1 confirms reproducibility, eliminates false positives, and executes standard runbooks. If resolved, the applied KB article is linked and the ticket closed.</w:t>
      </w:r>
    </w:p>
    <w:p>
      <w:pPr>
        <w:spacing w:after="80"/>
      </w:pPr>
      <w:r>
        <w:rPr>
          <w:b/>
          <w:color w:val="1E3A8A"/>
        </w:rPr>
        <w:t xml:space="preserve">3. L2 Advanced Investigation: </w:t>
      </w:r>
      <w:r>
        <w:t>For complex platform faults, L2 executes diagnostics, applies node drains, pod restarts, configuration overrides, or network routing workarounds to restore service quickly.</w:t>
      </w:r>
    </w:p>
    <w:p>
      <w:pPr>
        <w:spacing w:after="80"/>
      </w:pPr>
      <w:r>
        <w:rPr>
          <w:b/>
          <w:color w:val="1E3A8A"/>
        </w:rPr>
        <w:t xml:space="preserve">4. L3 &amp; Vendor Escalation: </w:t>
      </w:r>
      <w:r>
        <w:t>For persistent platform bugs, kernel issues, or code defects, L3 leads vendor engagement, attaching diagnostics and maintaining external SR IDs in ServiceNow.</w:t>
      </w:r>
    </w:p>
    <w:p>
      <w:pPr>
        <w:spacing w:after="80"/>
      </w:pPr>
      <w:r>
        <w:rPr>
          <w:b/>
          <w:color w:val="1E3A8A"/>
        </w:rPr>
        <w:t xml:space="preserve">5. Mitigation &amp; Verification: </w:t>
      </w:r>
      <w:r>
        <w:t>Service restoration is verified across telemetry metrics and user validation before the ticket is transitioned to Resolved.</w:t>
      </w:r>
    </w:p>
    <w:p>
      <w:pPr>
        <w:spacing w:after="80"/>
      </w:pPr>
      <w:r>
        <w:rPr>
          <w:b/>
          <w:color w:val="1E3A8A"/>
        </w:rPr>
        <w:t xml:space="preserve">6. Post-Incident Review (RCA): </w:t>
      </w:r>
      <w:r>
        <w:t>Mandatory for all P1/P2 incidents within 48–72 hours. Results are documented and attached to permanent ServiceNow Problem (PRB) records.</w:t>
      </w:r>
    </w:p>
    <w:p>
      <w:pPr>
        <w:keepNext/>
        <w:spacing w:before="320" w:after="120"/>
      </w:pPr>
      <w:r>
        <w:rPr>
          <w:rFonts w:ascii="Calibri" w:hAnsi="Calibri"/>
          <w:b/>
          <w:color w:val="1E3A8A"/>
          <w:sz w:val="28"/>
        </w:rPr>
        <w:t>8. Emergency Change Management (eCR) Protocol</w:t>
      </w:r>
    </w:p>
    <w:p>
      <w:pPr>
        <w:spacing w:after="80"/>
      </w:pPr>
      <w:r>
        <w:t>When restoring production availability during an active P1/P2 outage requires immediate operational changes outside standard CAB windows:</w:t>
      </w:r>
    </w:p>
    <w:p>
      <w:pPr>
        <w:spacing w:after="60"/>
      </w:pPr>
      <w:r>
        <w:rPr>
          <w:b/>
          <w:color w:val="0F766E"/>
        </w:rPr>
        <w:t xml:space="preserve">1. Emergency Identification: </w:t>
      </w:r>
      <w:r>
        <w:t>L2/L3 engineers in the War Room determine that platform recovery requires an immediate environment modification (e.g., node drain, routing change, hotfix deployment, configuration rollback).</w:t>
      </w:r>
    </w:p>
    <w:p>
      <w:pPr>
        <w:spacing w:after="60"/>
      </w:pPr>
      <w:r>
        <w:rPr>
          <w:b/>
          <w:color w:val="0F766E"/>
        </w:rPr>
        <w:t xml:space="preserve">2. Verbal Authorization: </w:t>
      </w:r>
      <w:r>
        <w:t>The Incident Leader (IL) or EM Lead grants explicit verbal approval on the recorded incident bridge.</w:t>
      </w:r>
    </w:p>
    <w:p>
      <w:pPr>
        <w:spacing w:after="60"/>
      </w:pPr>
      <w:r>
        <w:rPr>
          <w:b/>
          <w:color w:val="0F766E"/>
        </w:rPr>
        <w:t xml:space="preserve">3. Execution &amp; Telemetry Logging: </w:t>
      </w:r>
      <w:r>
        <w:t>Technical Leads apply the change; the Scribe documents commands, timestamps, and initial telemetry response in ServiceNow work notes.</w:t>
      </w:r>
    </w:p>
    <w:p>
      <w:pPr>
        <w:spacing w:after="60"/>
      </w:pPr>
      <w:r>
        <w:rPr>
          <w:b/>
          <w:color w:val="0F766E"/>
        </w:rPr>
        <w:t xml:space="preserve">4. Retrospective Change Submission: </w:t>
      </w:r>
      <w:r>
        <w:t>Within 24 hours of incident closure, the engineer logs a formal Emergency Change Request (eCR) in ServiceNow, linking the Incident ID and validation evidence.</w:t>
      </w:r>
    </w:p>
    <w:p>
      <w:pPr>
        <w:spacing w:after="60"/>
      </w:pPr>
      <w:r>
        <w:rPr>
          <w:b/>
          <w:color w:val="0F766E"/>
        </w:rPr>
        <w:t xml:space="preserve">5. eCAB Ratification: </w:t>
      </w:r>
      <w:r>
        <w:t>The Emergency Change Advisory Board formally reviews and ratifies the eCR during the next weekly review cycle.</w:t>
      </w:r>
    </w:p>
    <w:p>
      <w:pPr>
        <w:keepNext/>
        <w:spacing w:before="320" w:after="120"/>
      </w:pPr>
      <w:r>
        <w:rPr>
          <w:rFonts w:ascii="Calibri" w:hAnsi="Calibri"/>
          <w:b/>
          <w:color w:val="1E3A8A"/>
          <w:sz w:val="28"/>
        </w:rPr>
        <w:t>9. Escalation &amp; War Room Procedures</w:t>
      </w:r>
    </w:p>
    <w:p>
      <w:pPr>
        <w:keepNext/>
        <w:spacing w:before="240" w:after="80"/>
      </w:pPr>
      <w:r>
        <w:rPr>
          <w:rFonts w:ascii="Calibri" w:hAnsi="Calibri"/>
          <w:b/>
          <w:color w:val="0F766E"/>
          <w:sz w:val="24"/>
        </w:rPr>
        <w:t>9.1 Escalation Triggers &amp; Paths</w:t>
      </w:r>
    </w:p>
    <w:p>
      <w:pPr>
        <w:pStyle w:val="ListBullet"/>
        <w:spacing w:after="40"/>
      </w:pPr>
      <w:r>
        <w:rPr>
          <w:b/>
        </w:rPr>
        <w:t xml:space="preserve">Time-Based: </w:t>
      </w:r>
      <w:r>
        <w:t>Incident remains unmitigated past designated SLA thresholds.</w:t>
      </w:r>
    </w:p>
    <w:p>
      <w:pPr>
        <w:pStyle w:val="ListBullet"/>
        <w:spacing w:after="40"/>
      </w:pPr>
      <w:r>
        <w:rPr>
          <w:b/>
        </w:rPr>
        <w:t xml:space="preserve">Impact-Based: </w:t>
      </w:r>
      <w:r>
        <w:t>Incident causes widespread degradation (&gt;x% users, multiple namespaces, complete CI/CD halt) — triggers immediate P1 declaration.</w:t>
      </w:r>
    </w:p>
    <w:p>
      <w:pPr>
        <w:pStyle w:val="ListBullet"/>
        <w:spacing w:after="40"/>
      </w:pPr>
      <w:r>
        <w:rPr>
          <w:b/>
        </w:rPr>
        <w:t xml:space="preserve">Complexity-Based: </w:t>
      </w:r>
      <w:r>
        <w:t>Incident requires code changes, architectural fixes, or third-party vendor involvement.</w:t>
      </w:r>
    </w:p>
    <w:p>
      <w:pPr>
        <w:pStyle w:val="ListBullet"/>
        <w:spacing w:after="40"/>
      </w:pPr>
      <w:r>
        <w:rPr>
          <w:b/>
        </w:rPr>
        <w:t xml:space="preserve">Escalation Hierarchy: </w:t>
      </w:r>
      <w:r>
        <w:t>L1 -&gt; L2 -&gt; L3 / Evangelist -&gt; Architect / EM Lead -&gt; Program/Delivery Manager -&gt; Executive Sponsor.</w:t>
      </w:r>
    </w:p>
    <w:p>
      <w:pPr>
        <w:keepNext/>
        <w:spacing w:before="240" w:after="80"/>
      </w:pPr>
      <w:r>
        <w:rPr>
          <w:rFonts w:ascii="Calibri" w:hAnsi="Calibri"/>
          <w:b/>
          <w:color w:val="0F766E"/>
          <w:sz w:val="24"/>
        </w:rPr>
        <w:t>9.2 War Room Activation (P1 Incidents)</w:t>
      </w:r>
    </w:p>
    <w:p>
      <w:pPr>
        <w:spacing w:after="80"/>
      </w:pPr>
      <w:r>
        <w:t>A War Room is automatically declared for P1 incidents by the Incident Leader or on-call L3 Evangelist. Key roles on the live bridge include:</w:t>
      </w:r>
    </w:p>
    <w:p>
      <w:pPr>
        <w:pStyle w:val="ListBullet"/>
        <w:spacing w:after="40"/>
      </w:pPr>
      <w:r>
        <w:rPr>
          <w:b/>
        </w:rPr>
        <w:t xml:space="preserve">Incident Leader (IL): </w:t>
      </w:r>
      <w:r>
        <w:t>Directs investigation, approves emergency mitigations, enforces meeting hygiene.</w:t>
      </w:r>
    </w:p>
    <w:p>
      <w:pPr>
        <w:pStyle w:val="ListBullet"/>
        <w:spacing w:after="40"/>
      </w:pPr>
      <w:r>
        <w:rPr>
          <w:b/>
        </w:rPr>
        <w:t xml:space="preserve">Scribe: </w:t>
      </w:r>
      <w:r>
        <w:t>Maintains real-time chronological log of actions, timestamps, CLI commands, and rollback points in ServiceNow.</w:t>
      </w:r>
    </w:p>
    <w:p>
      <w:pPr>
        <w:pStyle w:val="ListBullet"/>
        <w:spacing w:after="40"/>
      </w:pPr>
      <w:r>
        <w:rPr>
          <w:b/>
        </w:rPr>
        <w:t xml:space="preserve">Technical Leads: </w:t>
      </w:r>
      <w:r>
        <w:t>L2/L3 engineers executing diagnostic scripts and operational fixes.</w:t>
      </w:r>
    </w:p>
    <w:p>
      <w:pPr>
        <w:pStyle w:val="ListBullet"/>
        <w:spacing w:after="40"/>
      </w:pPr>
      <w:r>
        <w:rPr>
          <w:b/>
        </w:rPr>
        <w:t xml:space="preserve">COMMS Lead: </w:t>
      </w:r>
      <w:r>
        <w:t>Issues stakeholder updates every 15 minutes during triage, and every 30–60 minutes post-mitigation.</w:t>
      </w:r>
    </w:p>
    <w:p>
      <w:pPr>
        <w:pStyle w:val="ListBullet"/>
        <w:spacing w:after="40"/>
      </w:pPr>
      <w:r>
        <w:rPr>
          <w:b/>
        </w:rPr>
        <w:t xml:space="preserve">Vendor Liaison: </w:t>
      </w:r>
      <w:r>
        <w:t>Coordinates external vendor case progression and severity escalations.</w:t>
      </w:r>
    </w:p>
    <w:p>
      <w:pPr>
        <w:keepNext/>
        <w:spacing w:before="320" w:after="120"/>
      </w:pPr>
      <w:r>
        <w:rPr>
          <w:rFonts w:ascii="Calibri" w:hAnsi="Calibri"/>
          <w:b/>
          <w:color w:val="1E3A8A"/>
          <w:sz w:val="28"/>
        </w:rPr>
        <w:t>10. Knowledge Management Lifecycle Framework</w:t>
      </w:r>
    </w:p>
    <w:p>
      <w:pPr>
        <w:pStyle w:val="ListBullet"/>
        <w:spacing w:after="60"/>
      </w:pPr>
      <w:r>
        <w:rPr>
          <w:b/>
          <w:color w:val="1E3A8A"/>
        </w:rPr>
        <w:t xml:space="preserve">Standard Operating Procedures (SOPs): </w:t>
      </w:r>
      <w:r>
        <w:t>Formal procedures for routine platform maintenance, cluster upgrades, certificate rotations, and tenant onboarding. Authored by L2/L3, reviewed semi-annually, approved by Architecture.</w:t>
      </w:r>
    </w:p>
    <w:p>
      <w:pPr>
        <w:pStyle w:val="ListBullet"/>
        <w:spacing w:after="60"/>
      </w:pPr>
      <w:r>
        <w:rPr>
          <w:b/>
          <w:color w:val="1E3A8A"/>
        </w:rPr>
        <w:t xml:space="preserve">Playbooks &amp; Runbooks: </w:t>
      </w:r>
      <w:r>
        <w:t>Diagnostic and remediation recipes linked directly to automated monitoring alert signatures in Grafana/Dynatrace (e.g., CrashLoopBackOff, Node NotReady, CNI IP exhaustion). Reviewed quarterly.</w:t>
      </w:r>
    </w:p>
    <w:p>
      <w:pPr>
        <w:pStyle w:val="ListBullet"/>
        <w:spacing w:after="60"/>
      </w:pPr>
      <w:r>
        <w:rPr>
          <w:b/>
          <w:color w:val="1E3A8A"/>
        </w:rPr>
        <w:t xml:space="preserve">Knowledge Base (KB) Articles: </w:t>
      </w:r>
      <w:r>
        <w:t>Symptom-workaround-solution guides created upon ticket closure. Subject to monthly hygiene review.</w:t>
      </w:r>
    </w:p>
    <w:p>
      <w:pPr>
        <w:pStyle w:val="ListBullet"/>
        <w:spacing w:after="60"/>
      </w:pPr>
      <w:r>
        <w:rPr>
          <w:b/>
          <w:color w:val="1E3A8A"/>
        </w:rPr>
        <w:t xml:space="preserve">Architecture Decision Records (ADRs): </w:t>
      </w:r>
      <w:r>
        <w:t>Immutable records of platform architecture specifications and baseline standards maintained in Git-backed repositories by Enterprise Architecture.</w:t>
      </w:r>
    </w:p>
    <w:p>
      <w:pPr>
        <w:keepNext/>
        <w:spacing w:before="320" w:after="120"/>
      </w:pPr>
      <w:r>
        <w:rPr>
          <w:rFonts w:ascii="Calibri" w:hAnsi="Calibri"/>
          <w:b/>
          <w:color w:val="1E3A8A"/>
          <w:sz w:val="28"/>
        </w:rPr>
        <w:t>11. Shift Handover &amp; On-Call Rotation Framework</w:t>
      </w:r>
    </w:p>
    <w:p>
      <w:pPr>
        <w:spacing w:after="80"/>
      </w:pPr>
      <w:r>
        <w:t>To maintain 24x7 operational reliability across global platform operations:</w:t>
      </w:r>
    </w:p>
    <w:p>
      <w:pPr>
        <w:pStyle w:val="ListBullet"/>
        <w:spacing w:after="60"/>
      </w:pPr>
      <w:r>
        <w:rPr>
          <w:b/>
        </w:rPr>
        <w:t xml:space="preserve">Coverage Model: </w:t>
      </w:r>
      <w:r>
        <w:t>8x5 Follow-the-Sun primary desk support for L1, backed by automated primary and secondary 24x7 on-call rotations for L2 and L3 engineering leads.</w:t>
      </w:r>
    </w:p>
    <w:p>
      <w:pPr>
        <w:pStyle w:val="ListBullet"/>
        <w:spacing w:after="60"/>
      </w:pPr>
      <w:r>
        <w:rPr>
          <w:b/>
        </w:rPr>
        <w:t xml:space="preserve">Automated Paging Protocol: </w:t>
      </w:r>
      <w:r>
        <w:t>P1 incidents trigger automated alerts across SMS, voice, and push channels. If unacknowledged within 10 minutes, the paging tool escalates to the secondary lead and Support Manager.</w:t>
      </w:r>
    </w:p>
    <w:p>
      <w:pPr>
        <w:pStyle w:val="ListBullet"/>
        <w:spacing w:after="60"/>
      </w:pPr>
      <w:r>
        <w:rPr>
          <w:b/>
        </w:rPr>
        <w:t xml:space="preserve">Mandatory Shift Handover Briefing (10–15 Mins Daily): </w:t>
      </w:r>
      <w:r>
        <w:t>Live briefing covering active/pending ServiceNow tickets with SLA countdowns, in-flight maintenance activities, drained nodes, degraded runners, and production changes deployed over the preceding 8 hours.</w:t>
      </w:r>
    </w:p>
    <w:p>
      <w:pPr>
        <w:keepNext/>
        <w:spacing w:before="320" w:after="120"/>
      </w:pPr>
      <w:r>
        <w:rPr>
          <w:rFonts w:ascii="Calibri" w:hAnsi="Calibri"/>
          <w:b/>
          <w:color w:val="1E3A8A"/>
          <w:sz w:val="28"/>
        </w:rPr>
        <w:t>12. Operational Governance Cycles (Daily, Weekly, Monthly)</w:t>
      </w:r>
    </w:p>
    <w:p>
      <w:pPr>
        <w:spacing w:after="120"/>
      </w:pPr>
      <w:r>
        <w:t>Recurring operational activities ensure stability, SLA compliance, knowledge hygiene, and continuous platform evolution:</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440"/>
            <w:tcMar>
              <w:top w:w="120" w:type="dxa"/>
              <w:bottom w:w="120" w:type="dxa"/>
              <w:left w:w="150" w:type="dxa"/>
              <w:right w:w="150" w:type="dxa"/>
            </w:tcMar>
            <w:shd w:fill="1E3A8A"/>
          </w:tcPr>
          <w:p>
            <w:pPr>
              <w:spacing w:before="40" w:after="40"/>
            </w:pPr>
            <w:r>
              <w:rPr>
                <w:rFonts w:ascii="Calibri" w:hAnsi="Calibri"/>
                <w:b/>
                <w:color w:val="FFFFFF"/>
                <w:sz w:val="19"/>
              </w:rPr>
              <w:t>Cadence</w:t>
            </w:r>
          </w:p>
        </w:tc>
        <w:tc>
          <w:tcPr>
            <w:tcW w:type="dxa" w:w="2304"/>
            <w:tcMar>
              <w:top w:w="120" w:type="dxa"/>
              <w:bottom w:w="120" w:type="dxa"/>
              <w:left w:w="150" w:type="dxa"/>
              <w:right w:w="150" w:type="dxa"/>
            </w:tcMar>
            <w:shd w:fill="1E3A8A"/>
          </w:tcPr>
          <w:p>
            <w:pPr>
              <w:spacing w:before="40" w:after="40"/>
            </w:pPr>
            <w:r>
              <w:rPr>
                <w:rFonts w:ascii="Calibri" w:hAnsi="Calibri"/>
                <w:b/>
                <w:color w:val="FFFFFF"/>
                <w:sz w:val="19"/>
              </w:rPr>
              <w:t>Duration &amp; Attendees</w:t>
            </w:r>
          </w:p>
        </w:tc>
        <w:tc>
          <w:tcPr>
            <w:tcW w:type="dxa" w:w="3024"/>
            <w:tcMar>
              <w:top w:w="120" w:type="dxa"/>
              <w:bottom w:w="120" w:type="dxa"/>
              <w:left w:w="150" w:type="dxa"/>
              <w:right w:w="150" w:type="dxa"/>
            </w:tcMar>
            <w:shd w:fill="1E3A8A"/>
          </w:tcPr>
          <w:p>
            <w:pPr>
              <w:spacing w:before="40" w:after="40"/>
            </w:pPr>
            <w:r>
              <w:rPr>
                <w:rFonts w:ascii="Calibri" w:hAnsi="Calibri"/>
                <w:b/>
                <w:color w:val="FFFFFF"/>
                <w:sz w:val="19"/>
              </w:rPr>
              <w:t>Standard Agenda Focus</w:t>
            </w:r>
          </w:p>
        </w:tc>
        <w:tc>
          <w:tcPr>
            <w:tcW w:type="dxa" w:w="2592"/>
            <w:tcMar>
              <w:top w:w="120" w:type="dxa"/>
              <w:bottom w:w="120" w:type="dxa"/>
              <w:left w:w="150" w:type="dxa"/>
              <w:right w:w="150" w:type="dxa"/>
            </w:tcMar>
            <w:shd w:fill="1E3A8A"/>
          </w:tcPr>
          <w:p>
            <w:pPr>
              <w:spacing w:before="40" w:after="40"/>
            </w:pPr>
            <w:r>
              <w:rPr>
                <w:rFonts w:ascii="Calibri" w:hAnsi="Calibri"/>
                <w:b/>
                <w:color w:val="FFFFFF"/>
                <w:sz w:val="19"/>
              </w:rPr>
              <w:t>Expected Deliverables / Artifacts</w:t>
            </w:r>
          </w:p>
        </w:tc>
      </w:tr>
      <w:tr>
        <w:trPr>
          <w:cantSplit/>
        </w:trPr>
        <w:tc>
          <w:tcPr>
            <w:tcW w:type="dxa" w:w="1440"/>
            <w:tcMar>
              <w:top w:w="120" w:type="dxa"/>
              <w:bottom w:w="120" w:type="dxa"/>
              <w:left w:w="150" w:type="dxa"/>
              <w:right w:w="150" w:type="dxa"/>
            </w:tcMar>
            <w:shd w:fill="F8FAFC"/>
          </w:tcPr>
          <w:p>
            <w:pPr>
              <w:spacing w:before="40" w:after="40"/>
            </w:pPr>
            <w:r>
              <w:rPr>
                <w:rFonts w:ascii="Calibri" w:hAnsi="Calibri"/>
                <w:color w:val="1E293B"/>
                <w:sz w:val="18"/>
              </w:rPr>
              <w:t>Daily</w:t>
            </w:r>
          </w:p>
        </w:tc>
        <w:tc>
          <w:tcPr>
            <w:tcW w:type="dxa" w:w="2304"/>
            <w:tcMar>
              <w:top w:w="120" w:type="dxa"/>
              <w:bottom w:w="120" w:type="dxa"/>
              <w:left w:w="150" w:type="dxa"/>
              <w:right w:w="150" w:type="dxa"/>
            </w:tcMar>
            <w:shd w:fill="F8FAFC"/>
          </w:tcPr>
          <w:p>
            <w:pPr>
              <w:spacing w:before="40" w:after="40"/>
            </w:pPr>
            <w:r>
              <w:rPr>
                <w:rFonts w:ascii="Calibri" w:hAnsi="Calibri"/>
                <w:color w:val="1E293B"/>
                <w:sz w:val="18"/>
              </w:rPr>
              <w:t>10–15 mins</w:t>
              <w:br/>
              <w:t>L1 Lead, L2 On-Call, Ops Lead</w:t>
            </w:r>
          </w:p>
        </w:tc>
        <w:tc>
          <w:tcPr>
            <w:tcW w:type="dxa" w:w="3024"/>
            <w:tcMar>
              <w:top w:w="120" w:type="dxa"/>
              <w:bottom w:w="120" w:type="dxa"/>
              <w:left w:w="150" w:type="dxa"/>
              <w:right w:w="150" w:type="dxa"/>
            </w:tcMar>
            <w:shd w:fill="F8FAFC"/>
          </w:tcPr>
          <w:p>
            <w:pPr>
              <w:spacing w:before="40" w:after="40"/>
            </w:pPr>
            <w:r>
              <w:rPr>
                <w:rFonts w:ascii="Calibri" w:hAnsi="Calibri"/>
                <w:color w:val="1E293B"/>
                <w:sz w:val="18"/>
              </w:rPr>
              <w:t>Active alerts, open incidents nearing SLA breach, cluster health checks, planned maintenance.</w:t>
            </w:r>
          </w:p>
        </w:tc>
        <w:tc>
          <w:tcPr>
            <w:tcW w:type="dxa" w:w="2592"/>
            <w:tcMar>
              <w:top w:w="120" w:type="dxa"/>
              <w:bottom w:w="120" w:type="dxa"/>
              <w:left w:w="150" w:type="dxa"/>
              <w:right w:w="150" w:type="dxa"/>
            </w:tcMar>
            <w:shd w:fill="F8FAFC"/>
          </w:tcPr>
          <w:p>
            <w:pPr>
              <w:spacing w:before="40" w:after="40"/>
            </w:pPr>
            <w:r>
              <w:rPr>
                <w:rFonts w:ascii="Calibri" w:hAnsi="Calibri"/>
                <w:color w:val="1E293B"/>
                <w:sz w:val="18"/>
              </w:rPr>
              <w:t>Shift Handover Document &amp; Ticket Assignment Log.</w:t>
            </w:r>
          </w:p>
        </w:tc>
      </w:tr>
      <w:tr>
        <w:trPr>
          <w:cantSplit/>
        </w:trPr>
        <w:tc>
          <w:tcPr>
            <w:tcW w:type="dxa" w:w="1440"/>
            <w:tcMar>
              <w:top w:w="120" w:type="dxa"/>
              <w:bottom w:w="120" w:type="dxa"/>
              <w:left w:w="150" w:type="dxa"/>
              <w:right w:w="150" w:type="dxa"/>
            </w:tcMar>
            <w:shd w:fill="FFFFFF"/>
          </w:tcPr>
          <w:p>
            <w:pPr>
              <w:spacing w:before="40" w:after="40"/>
            </w:pPr>
            <w:r>
              <w:rPr>
                <w:rFonts w:ascii="Calibri" w:hAnsi="Calibri"/>
                <w:color w:val="1E293B"/>
                <w:sz w:val="18"/>
              </w:rPr>
              <w:t>Weekly</w:t>
            </w:r>
          </w:p>
        </w:tc>
        <w:tc>
          <w:tcPr>
            <w:tcW w:type="dxa" w:w="2304"/>
            <w:tcMar>
              <w:top w:w="120" w:type="dxa"/>
              <w:bottom w:w="120" w:type="dxa"/>
              <w:left w:w="150" w:type="dxa"/>
              <w:right w:w="150" w:type="dxa"/>
            </w:tcMar>
            <w:shd w:fill="FFFFFF"/>
          </w:tcPr>
          <w:p>
            <w:pPr>
              <w:spacing w:before="40" w:after="40"/>
            </w:pPr>
            <w:r>
              <w:rPr>
                <w:rFonts w:ascii="Calibri" w:hAnsi="Calibri"/>
                <w:color w:val="1E293B"/>
                <w:sz w:val="18"/>
              </w:rPr>
              <w:t>30–45 mins</w:t>
              <w:br/>
              <w:t>Ops Manager, L2 Leads, L3 Evangelist</w:t>
            </w:r>
          </w:p>
        </w:tc>
        <w:tc>
          <w:tcPr>
            <w:tcW w:type="dxa" w:w="3024"/>
            <w:tcMar>
              <w:top w:w="120" w:type="dxa"/>
              <w:bottom w:w="120" w:type="dxa"/>
              <w:left w:w="150" w:type="dxa"/>
              <w:right w:w="150" w:type="dxa"/>
            </w:tcMar>
            <w:shd w:fill="FFFFFF"/>
          </w:tcPr>
          <w:p>
            <w:pPr>
              <w:spacing w:before="40" w:after="40"/>
            </w:pPr>
            <w:r>
              <w:rPr>
                <w:rFonts w:ascii="Calibri" w:hAnsi="Calibri"/>
                <w:color w:val="1E293B"/>
                <w:sz w:val="18"/>
              </w:rPr>
              <w:t>Weekly SLA adherence, top 5 incident trends, aging backlog, KB updates, 15-min tech knowledge share.</w:t>
            </w:r>
          </w:p>
        </w:tc>
        <w:tc>
          <w:tcPr>
            <w:tcW w:type="dxa" w:w="2592"/>
            <w:tcMar>
              <w:top w:w="120" w:type="dxa"/>
              <w:bottom w:w="120" w:type="dxa"/>
              <w:left w:w="150" w:type="dxa"/>
              <w:right w:w="150" w:type="dxa"/>
            </w:tcMar>
            <w:shd w:fill="FFFFFF"/>
          </w:tcPr>
          <w:p>
            <w:pPr>
              <w:spacing w:before="40" w:after="40"/>
            </w:pPr>
            <w:r>
              <w:rPr>
                <w:rFonts w:ascii="Calibri" w:hAnsi="Calibri"/>
                <w:color w:val="1E293B"/>
                <w:sz w:val="18"/>
              </w:rPr>
              <w:t>Weekly Incident Trend Report, Backlog Action List, Updated Playbooks.</w:t>
            </w:r>
          </w:p>
        </w:tc>
      </w:tr>
      <w:tr>
        <w:trPr>
          <w:cantSplit/>
        </w:trPr>
        <w:tc>
          <w:tcPr>
            <w:tcW w:type="dxa" w:w="1440"/>
            <w:tcMar>
              <w:top w:w="120" w:type="dxa"/>
              <w:bottom w:w="120" w:type="dxa"/>
              <w:left w:w="150" w:type="dxa"/>
              <w:right w:w="150" w:type="dxa"/>
            </w:tcMar>
            <w:shd w:fill="F8FAFC"/>
          </w:tcPr>
          <w:p>
            <w:pPr>
              <w:spacing w:before="40" w:after="40"/>
            </w:pPr>
            <w:r>
              <w:rPr>
                <w:rFonts w:ascii="Calibri" w:hAnsi="Calibri"/>
                <w:color w:val="1E293B"/>
                <w:sz w:val="18"/>
              </w:rPr>
              <w:t>Monthly</w:t>
            </w:r>
          </w:p>
        </w:tc>
        <w:tc>
          <w:tcPr>
            <w:tcW w:type="dxa" w:w="2304"/>
            <w:tcMar>
              <w:top w:w="120" w:type="dxa"/>
              <w:bottom w:w="120" w:type="dxa"/>
              <w:left w:w="150" w:type="dxa"/>
              <w:right w:w="150" w:type="dxa"/>
            </w:tcMar>
            <w:shd w:fill="F8FAFC"/>
          </w:tcPr>
          <w:p>
            <w:pPr>
              <w:spacing w:before="40" w:after="40"/>
            </w:pPr>
            <w:r>
              <w:rPr>
                <w:rFonts w:ascii="Calibri" w:hAnsi="Calibri"/>
                <w:color w:val="1E293B"/>
                <w:sz w:val="18"/>
              </w:rPr>
              <w:t>45–60 mins</w:t>
              <w:br/>
              <w:t>Service Owner, Delivery Manager, Architecture, Ops Manager</w:t>
            </w:r>
          </w:p>
        </w:tc>
        <w:tc>
          <w:tcPr>
            <w:tcW w:type="dxa" w:w="3024"/>
            <w:tcMar>
              <w:top w:w="120" w:type="dxa"/>
              <w:bottom w:w="120" w:type="dxa"/>
              <w:left w:w="150" w:type="dxa"/>
              <w:right w:w="150" w:type="dxa"/>
            </w:tcMar>
            <w:shd w:fill="F8FAFC"/>
          </w:tcPr>
          <w:p>
            <w:pPr>
              <w:spacing w:before="40" w:after="40"/>
            </w:pPr>
            <w:r>
              <w:rPr>
                <w:rFonts w:ascii="Calibri" w:hAnsi="Calibri"/>
                <w:color w:val="1E293B"/>
                <w:sz w:val="18"/>
              </w:rPr>
              <w:t>Monthly SLA/MTTR performance, major RCA reviews, change success rates, vendor SLA scorecards, roadmap alignment.</w:t>
            </w:r>
          </w:p>
        </w:tc>
        <w:tc>
          <w:tcPr>
            <w:tcW w:type="dxa" w:w="2592"/>
            <w:tcMar>
              <w:top w:w="120" w:type="dxa"/>
              <w:bottom w:w="120" w:type="dxa"/>
              <w:left w:w="150" w:type="dxa"/>
              <w:right w:w="150" w:type="dxa"/>
            </w:tcMar>
            <w:shd w:fill="F8FAFC"/>
          </w:tcPr>
          <w:p>
            <w:pPr>
              <w:spacing w:before="40" w:after="40"/>
            </w:pPr>
            <w:r>
              <w:rPr>
                <w:rFonts w:ascii="Calibri" w:hAnsi="Calibri"/>
                <w:color w:val="1E293B"/>
                <w:sz w:val="18"/>
              </w:rPr>
              <w:t>Monthly Governance Executive Pack &amp; Reliability Improvement Backlog.</w:t>
            </w:r>
          </w:p>
        </w:tc>
      </w:tr>
    </w:tbl>
    <w:p>
      <w:pPr>
        <w:spacing w:after="120"/>
      </w:pPr>
    </w:p>
    <w:p>
      <w:pPr>
        <w:keepNext/>
        <w:spacing w:before="320" w:after="120"/>
      </w:pPr>
      <w:r>
        <w:rPr>
          <w:rFonts w:ascii="Calibri" w:hAnsi="Calibri"/>
          <w:b/>
          <w:color w:val="1E3A8A"/>
          <w:sz w:val="28"/>
        </w:rPr>
        <w:t>13. Comprehensive RACI Matrix</w:t>
      </w:r>
    </w:p>
    <w:p>
      <w:pPr>
        <w:spacing w:after="120"/>
      </w:pPr>
      <w:r>
        <w:t>R = Responsible (Executes) | A = Accountable (Final Decision / Approver) | C = Consulted (Input) | I = Informed (Notified)</w:t>
      </w:r>
    </w:p>
    <w:p>
      <w:pPr>
        <w:keepNext/>
        <w:spacing w:before="240" w:after="80"/>
      </w:pPr>
      <w:r>
        <w:rPr>
          <w:rFonts w:ascii="Calibri" w:hAnsi="Calibri"/>
          <w:b/>
          <w:color w:val="0F766E"/>
          <w:sz w:val="24"/>
        </w:rPr>
        <w:t>13.1 Incident Management RACI</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3312"/>
            <w:tcMar>
              <w:top w:w="120" w:type="dxa"/>
              <w:bottom w:w="120" w:type="dxa"/>
              <w:left w:w="150" w:type="dxa"/>
              <w:right w:w="150" w:type="dxa"/>
            </w:tcMar>
            <w:shd w:fill="1E3A8A"/>
          </w:tcPr>
          <w:p>
            <w:pPr>
              <w:spacing w:before="40" w:after="40"/>
              <w:jc w:val="left"/>
            </w:pPr>
            <w:r>
              <w:rPr>
                <w:rFonts w:ascii="Calibri" w:hAnsi="Calibri"/>
                <w:b/>
                <w:color w:val="FFFFFF"/>
                <w:sz w:val="19"/>
              </w:rPr>
              <w:t>Incident Activity</w:t>
            </w:r>
          </w:p>
        </w:tc>
        <w:tc>
          <w:tcPr>
            <w:tcW w:type="dxa" w:w="864"/>
            <w:tcMar>
              <w:top w:w="120" w:type="dxa"/>
              <w:bottom w:w="120" w:type="dxa"/>
              <w:left w:w="150" w:type="dxa"/>
              <w:right w:w="150" w:type="dxa"/>
            </w:tcMar>
            <w:shd w:fill="1E3A8A"/>
          </w:tcPr>
          <w:p>
            <w:pPr>
              <w:spacing w:before="40" w:after="40"/>
              <w:jc w:val="center"/>
            </w:pPr>
            <w:r>
              <w:rPr>
                <w:rFonts w:ascii="Calibri" w:hAnsi="Calibri"/>
                <w:b/>
                <w:color w:val="FFFFFF"/>
                <w:sz w:val="19"/>
              </w:rPr>
              <w:t>L1</w:t>
            </w:r>
          </w:p>
        </w:tc>
        <w:tc>
          <w:tcPr>
            <w:tcW w:type="dxa" w:w="864"/>
            <w:tcMar>
              <w:top w:w="120" w:type="dxa"/>
              <w:bottom w:w="120" w:type="dxa"/>
              <w:left w:w="150" w:type="dxa"/>
              <w:right w:w="150" w:type="dxa"/>
            </w:tcMar>
            <w:shd w:fill="1E3A8A"/>
          </w:tcPr>
          <w:p>
            <w:pPr>
              <w:spacing w:before="40" w:after="40"/>
              <w:jc w:val="center"/>
            </w:pPr>
            <w:r>
              <w:rPr>
                <w:rFonts w:ascii="Calibri" w:hAnsi="Calibri"/>
                <w:b/>
                <w:color w:val="FFFFFF"/>
                <w:sz w:val="19"/>
              </w:rPr>
              <w:t>L2</w:t>
            </w:r>
          </w:p>
        </w:tc>
        <w:tc>
          <w:tcPr>
            <w:tcW w:type="dxa" w:w="864"/>
            <w:tcMar>
              <w:top w:w="120" w:type="dxa"/>
              <w:bottom w:w="120" w:type="dxa"/>
              <w:left w:w="150" w:type="dxa"/>
              <w:right w:w="150" w:type="dxa"/>
            </w:tcMar>
            <w:shd w:fill="1E3A8A"/>
          </w:tcPr>
          <w:p>
            <w:pPr>
              <w:spacing w:before="40" w:after="40"/>
              <w:jc w:val="center"/>
            </w:pPr>
            <w:r>
              <w:rPr>
                <w:rFonts w:ascii="Calibri" w:hAnsi="Calibri"/>
                <w:b/>
                <w:color w:val="FFFFFF"/>
                <w:sz w:val="19"/>
              </w:rPr>
              <w:t>L3</w:t>
            </w:r>
          </w:p>
        </w:tc>
        <w:tc>
          <w:tcPr>
            <w:tcW w:type="dxa" w:w="1152"/>
            <w:tcMar>
              <w:top w:w="120" w:type="dxa"/>
              <w:bottom w:w="120" w:type="dxa"/>
              <w:left w:w="150" w:type="dxa"/>
              <w:right w:w="150" w:type="dxa"/>
            </w:tcMar>
            <w:shd w:fill="1E3A8A"/>
          </w:tcPr>
          <w:p>
            <w:pPr>
              <w:spacing w:before="40" w:after="40"/>
              <w:jc w:val="center"/>
            </w:pPr>
            <w:r>
              <w:rPr>
                <w:rFonts w:ascii="Calibri" w:hAnsi="Calibri"/>
                <w:b/>
                <w:color w:val="FFFFFF"/>
                <w:sz w:val="19"/>
              </w:rPr>
              <w:t>Dev / Arch</w:t>
            </w:r>
          </w:p>
        </w:tc>
        <w:tc>
          <w:tcPr>
            <w:tcW w:type="dxa" w:w="1152"/>
            <w:tcMar>
              <w:top w:w="120" w:type="dxa"/>
              <w:bottom w:w="120" w:type="dxa"/>
              <w:left w:w="150" w:type="dxa"/>
              <w:right w:w="150" w:type="dxa"/>
            </w:tcMar>
            <w:shd w:fill="1E3A8A"/>
          </w:tcPr>
          <w:p>
            <w:pPr>
              <w:spacing w:before="40" w:after="40"/>
              <w:jc w:val="center"/>
            </w:pPr>
            <w:r>
              <w:rPr>
                <w:rFonts w:ascii="Calibri" w:hAnsi="Calibri"/>
                <w:b/>
                <w:color w:val="FFFFFF"/>
                <w:sz w:val="19"/>
              </w:rPr>
              <w:t>Ops Mgr</w:t>
            </w:r>
          </w:p>
        </w:tc>
        <w:tc>
          <w:tcPr>
            <w:tcW w:type="dxa" w:w="1152"/>
            <w:tcMar>
              <w:top w:w="120" w:type="dxa"/>
              <w:bottom w:w="120" w:type="dxa"/>
              <w:left w:w="150" w:type="dxa"/>
              <w:right w:w="150" w:type="dxa"/>
            </w:tcMar>
            <w:shd w:fill="1E3A8A"/>
          </w:tcPr>
          <w:p>
            <w:pPr>
              <w:spacing w:before="40" w:after="40"/>
              <w:jc w:val="center"/>
            </w:pPr>
            <w:r>
              <w:rPr>
                <w:rFonts w:ascii="Calibri" w:hAnsi="Calibri"/>
                <w:b/>
                <w:color w:val="FFFFFF"/>
                <w:sz w:val="19"/>
              </w:rPr>
              <w:t>Delivery Mgr</w:t>
            </w:r>
          </w:p>
        </w:tc>
        <w:tc>
          <w:tcPr>
            <w:tcW w:type="dxa" w:w="864"/>
            <w:tcMar>
              <w:top w:w="120" w:type="dxa"/>
              <w:bottom w:w="120" w:type="dxa"/>
              <w:left w:w="150" w:type="dxa"/>
              <w:right w:w="150" w:type="dxa"/>
            </w:tcMar>
            <w:shd w:fill="1E3A8A"/>
          </w:tcPr>
          <w:p>
            <w:pPr>
              <w:spacing w:before="40" w:after="40"/>
              <w:jc w:val="center"/>
            </w:pPr>
            <w:r>
              <w:rPr>
                <w:rFonts w:ascii="Calibri" w:hAnsi="Calibri"/>
                <w:b/>
                <w:color w:val="FFFFFF"/>
                <w:sz w:val="19"/>
              </w:rPr>
              <w:t>Vendor</w:t>
            </w:r>
          </w:p>
        </w:tc>
      </w:tr>
      <w:tr>
        <w:trPr>
          <w:cantSplit/>
        </w:trPr>
        <w:tc>
          <w:tcPr>
            <w:tcW w:type="dxa" w:w="3312"/>
            <w:tcMar>
              <w:top w:w="120" w:type="dxa"/>
              <w:bottom w:w="120" w:type="dxa"/>
              <w:left w:w="150" w:type="dxa"/>
              <w:right w:w="150" w:type="dxa"/>
            </w:tcMar>
            <w:shd w:fill="F8FAFC"/>
          </w:tcPr>
          <w:p>
            <w:pPr>
              <w:spacing w:before="40" w:after="40"/>
              <w:jc w:val="left"/>
            </w:pPr>
            <w:r>
              <w:rPr>
                <w:rFonts w:ascii="Calibri" w:hAnsi="Calibri"/>
                <w:color w:val="1E293B"/>
                <w:sz w:val="18"/>
              </w:rPr>
              <w:t>Receive and Log Incident</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R</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I</w:t>
            </w:r>
          </w:p>
        </w:tc>
      </w:tr>
      <w:tr>
        <w:trPr>
          <w:cantSplit/>
        </w:trPr>
        <w:tc>
          <w:tcPr>
            <w:tcW w:type="dxa" w:w="3312"/>
            <w:tcMar>
              <w:top w:w="120" w:type="dxa"/>
              <w:bottom w:w="120" w:type="dxa"/>
              <w:left w:w="150" w:type="dxa"/>
              <w:right w:w="150" w:type="dxa"/>
            </w:tcMar>
            <w:shd w:fill="FFFFFF"/>
          </w:tcPr>
          <w:p>
            <w:pPr>
              <w:spacing w:before="40" w:after="40"/>
              <w:jc w:val="left"/>
            </w:pPr>
            <w:r>
              <w:rPr>
                <w:rFonts w:ascii="Calibri" w:hAnsi="Calibri"/>
                <w:color w:val="1E293B"/>
                <w:sz w:val="18"/>
              </w:rPr>
              <w:t>Initial Triage &amp; Validation</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R</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C</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I</w:t>
            </w:r>
          </w:p>
        </w:tc>
      </w:tr>
      <w:tr>
        <w:trPr>
          <w:cantSplit/>
        </w:trPr>
        <w:tc>
          <w:tcPr>
            <w:tcW w:type="dxa" w:w="3312"/>
            <w:tcMar>
              <w:top w:w="120" w:type="dxa"/>
              <w:bottom w:w="120" w:type="dxa"/>
              <w:left w:w="150" w:type="dxa"/>
              <w:right w:w="150" w:type="dxa"/>
            </w:tcMar>
            <w:shd w:fill="F8FAFC"/>
          </w:tcPr>
          <w:p>
            <w:pPr>
              <w:spacing w:before="40" w:after="40"/>
              <w:jc w:val="left"/>
            </w:pPr>
            <w:r>
              <w:rPr>
                <w:rFonts w:ascii="Calibri" w:hAnsi="Calibri"/>
                <w:color w:val="1E293B"/>
                <w:sz w:val="18"/>
              </w:rPr>
              <w:t>Basic Runbook Troubleshooting</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R</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C</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I</w:t>
            </w:r>
          </w:p>
        </w:tc>
      </w:tr>
      <w:tr>
        <w:trPr>
          <w:cantSplit/>
        </w:trPr>
        <w:tc>
          <w:tcPr>
            <w:tcW w:type="dxa" w:w="3312"/>
            <w:tcMar>
              <w:top w:w="120" w:type="dxa"/>
              <w:bottom w:w="120" w:type="dxa"/>
              <w:left w:w="150" w:type="dxa"/>
              <w:right w:w="150" w:type="dxa"/>
            </w:tcMar>
            <w:shd w:fill="FFFFFF"/>
          </w:tcPr>
          <w:p>
            <w:pPr>
              <w:spacing w:before="40" w:after="40"/>
              <w:jc w:val="left"/>
            </w:pPr>
            <w:r>
              <w:rPr>
                <w:rFonts w:ascii="Calibri" w:hAnsi="Calibri"/>
                <w:color w:val="1E293B"/>
                <w:sz w:val="18"/>
              </w:rPr>
              <w:t>Escalate to L2</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R</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A</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I</w:t>
            </w:r>
          </w:p>
        </w:tc>
      </w:tr>
      <w:tr>
        <w:trPr>
          <w:cantSplit/>
        </w:trPr>
        <w:tc>
          <w:tcPr>
            <w:tcW w:type="dxa" w:w="3312"/>
            <w:tcMar>
              <w:top w:w="120" w:type="dxa"/>
              <w:bottom w:w="120" w:type="dxa"/>
              <w:left w:w="150" w:type="dxa"/>
              <w:right w:w="150" w:type="dxa"/>
            </w:tcMar>
            <w:shd w:fill="F8FAFC"/>
          </w:tcPr>
          <w:p>
            <w:pPr>
              <w:spacing w:before="40" w:after="40"/>
              <w:jc w:val="left"/>
            </w:pPr>
            <w:r>
              <w:rPr>
                <w:rFonts w:ascii="Calibri" w:hAnsi="Calibri"/>
                <w:color w:val="1E293B"/>
                <w:sz w:val="18"/>
              </w:rPr>
              <w:t>Advanced Technical Diagnostics (L2)</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R</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C</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C</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C</w:t>
            </w:r>
          </w:p>
        </w:tc>
      </w:tr>
      <w:tr>
        <w:trPr>
          <w:cantSplit/>
        </w:trPr>
        <w:tc>
          <w:tcPr>
            <w:tcW w:type="dxa" w:w="3312"/>
            <w:tcMar>
              <w:top w:w="120" w:type="dxa"/>
              <w:bottom w:w="120" w:type="dxa"/>
              <w:left w:w="150" w:type="dxa"/>
              <w:right w:w="150" w:type="dxa"/>
            </w:tcMar>
            <w:shd w:fill="FFFFFF"/>
          </w:tcPr>
          <w:p>
            <w:pPr>
              <w:spacing w:before="40" w:after="40"/>
              <w:jc w:val="left"/>
            </w:pPr>
            <w:r>
              <w:rPr>
                <w:rFonts w:ascii="Calibri" w:hAnsi="Calibri"/>
                <w:color w:val="1E293B"/>
                <w:sz w:val="18"/>
              </w:rPr>
              <w:t>Deep-Dive Debugging (L3)</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C</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R</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C</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C</w:t>
            </w:r>
          </w:p>
        </w:tc>
      </w:tr>
      <w:tr>
        <w:trPr>
          <w:cantSplit/>
        </w:trPr>
        <w:tc>
          <w:tcPr>
            <w:tcW w:type="dxa" w:w="3312"/>
            <w:tcMar>
              <w:top w:w="120" w:type="dxa"/>
              <w:bottom w:w="120" w:type="dxa"/>
              <w:left w:w="150" w:type="dxa"/>
              <w:right w:w="150" w:type="dxa"/>
            </w:tcMar>
            <w:shd w:fill="F8FAFC"/>
          </w:tcPr>
          <w:p>
            <w:pPr>
              <w:spacing w:before="40" w:after="40"/>
              <w:jc w:val="left"/>
            </w:pPr>
            <w:r>
              <w:rPr>
                <w:rFonts w:ascii="Calibri" w:hAnsi="Calibri"/>
                <w:color w:val="1E293B"/>
                <w:sz w:val="18"/>
              </w:rPr>
              <w:t>Vendor Escalation &amp; Engagement</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C</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C</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A</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R</w:t>
            </w:r>
          </w:p>
        </w:tc>
      </w:tr>
      <w:tr>
        <w:trPr>
          <w:cantSplit/>
        </w:trPr>
        <w:tc>
          <w:tcPr>
            <w:tcW w:type="dxa" w:w="3312"/>
            <w:tcMar>
              <w:top w:w="120" w:type="dxa"/>
              <w:bottom w:w="120" w:type="dxa"/>
              <w:left w:w="150" w:type="dxa"/>
              <w:right w:w="150" w:type="dxa"/>
            </w:tcMar>
            <w:shd w:fill="FFFFFF"/>
          </w:tcPr>
          <w:p>
            <w:pPr>
              <w:spacing w:before="40" w:after="40"/>
              <w:jc w:val="left"/>
            </w:pPr>
            <w:r>
              <w:rPr>
                <w:rFonts w:ascii="Calibri" w:hAnsi="Calibri"/>
                <w:color w:val="1E293B"/>
                <w:sz w:val="18"/>
              </w:rPr>
              <w:t>Restore Service / Apply Mitigation</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C</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R</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C</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C</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C</w:t>
            </w:r>
          </w:p>
        </w:tc>
      </w:tr>
      <w:tr>
        <w:trPr>
          <w:cantSplit/>
        </w:trPr>
        <w:tc>
          <w:tcPr>
            <w:tcW w:type="dxa" w:w="3312"/>
            <w:tcMar>
              <w:top w:w="120" w:type="dxa"/>
              <w:bottom w:w="120" w:type="dxa"/>
              <w:left w:w="150" w:type="dxa"/>
              <w:right w:w="150" w:type="dxa"/>
            </w:tcMar>
            <w:shd w:fill="F8FAFC"/>
          </w:tcPr>
          <w:p>
            <w:pPr>
              <w:spacing w:before="40" w:after="40"/>
              <w:jc w:val="left"/>
            </w:pPr>
            <w:r>
              <w:rPr>
                <w:rFonts w:ascii="Calibri" w:hAnsi="Calibri"/>
                <w:color w:val="1E293B"/>
                <w:sz w:val="18"/>
              </w:rPr>
              <w:t>Validate &amp; Close Incident</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R</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C</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C</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A</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I</w:t>
            </w:r>
          </w:p>
        </w:tc>
      </w:tr>
      <w:tr>
        <w:trPr>
          <w:cantSplit/>
        </w:trPr>
        <w:tc>
          <w:tcPr>
            <w:tcW w:type="dxa" w:w="3312"/>
            <w:tcMar>
              <w:top w:w="120" w:type="dxa"/>
              <w:bottom w:w="120" w:type="dxa"/>
              <w:left w:w="150" w:type="dxa"/>
              <w:right w:w="150" w:type="dxa"/>
            </w:tcMar>
            <w:shd w:fill="FFFFFF"/>
          </w:tcPr>
          <w:p>
            <w:pPr>
              <w:spacing w:before="40" w:after="40"/>
              <w:jc w:val="left"/>
            </w:pPr>
            <w:r>
              <w:rPr>
                <w:rFonts w:ascii="Calibri" w:hAnsi="Calibri"/>
                <w:color w:val="1E293B"/>
                <w:sz w:val="18"/>
              </w:rPr>
              <w:t>Stakeholder Communications</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C</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C</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C</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R/A</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C</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I</w:t>
            </w:r>
          </w:p>
        </w:tc>
      </w:tr>
    </w:tbl>
    <w:p>
      <w:pPr>
        <w:spacing w:after="120"/>
      </w:pPr>
    </w:p>
    <w:p>
      <w:pPr>
        <w:keepNext/>
        <w:spacing w:before="240" w:after="80"/>
      </w:pPr>
      <w:r>
        <w:rPr>
          <w:rFonts w:ascii="Calibri" w:hAnsi="Calibri"/>
          <w:b/>
          <w:color w:val="0F766E"/>
          <w:sz w:val="24"/>
        </w:rPr>
        <w:t>13.2 Problem &amp; Knowledge Management RACI</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3600"/>
            <w:tcMar>
              <w:top w:w="120" w:type="dxa"/>
              <w:bottom w:w="120" w:type="dxa"/>
              <w:left w:w="150" w:type="dxa"/>
              <w:right w:w="150" w:type="dxa"/>
            </w:tcMar>
            <w:shd w:fill="1E3A8A"/>
          </w:tcPr>
          <w:p>
            <w:pPr>
              <w:spacing w:before="40" w:after="40"/>
              <w:jc w:val="left"/>
            </w:pPr>
            <w:r>
              <w:rPr>
                <w:rFonts w:ascii="Calibri" w:hAnsi="Calibri"/>
                <w:b/>
                <w:color w:val="FFFFFF"/>
                <w:sz w:val="19"/>
              </w:rPr>
              <w:t>Activity</w:t>
            </w:r>
          </w:p>
        </w:tc>
        <w:tc>
          <w:tcPr>
            <w:tcW w:type="dxa" w:w="864"/>
            <w:tcMar>
              <w:top w:w="120" w:type="dxa"/>
              <w:bottom w:w="120" w:type="dxa"/>
              <w:left w:w="150" w:type="dxa"/>
              <w:right w:w="150" w:type="dxa"/>
            </w:tcMar>
            <w:shd w:fill="1E3A8A"/>
          </w:tcPr>
          <w:p>
            <w:pPr>
              <w:spacing w:before="40" w:after="40"/>
              <w:jc w:val="center"/>
            </w:pPr>
            <w:r>
              <w:rPr>
                <w:rFonts w:ascii="Calibri" w:hAnsi="Calibri"/>
                <w:b/>
                <w:color w:val="FFFFFF"/>
                <w:sz w:val="19"/>
              </w:rPr>
              <w:t>L1</w:t>
            </w:r>
          </w:p>
        </w:tc>
        <w:tc>
          <w:tcPr>
            <w:tcW w:type="dxa" w:w="864"/>
            <w:tcMar>
              <w:top w:w="120" w:type="dxa"/>
              <w:bottom w:w="120" w:type="dxa"/>
              <w:left w:w="150" w:type="dxa"/>
              <w:right w:w="150" w:type="dxa"/>
            </w:tcMar>
            <w:shd w:fill="1E3A8A"/>
          </w:tcPr>
          <w:p>
            <w:pPr>
              <w:spacing w:before="40" w:after="40"/>
              <w:jc w:val="center"/>
            </w:pPr>
            <w:r>
              <w:rPr>
                <w:rFonts w:ascii="Calibri" w:hAnsi="Calibri"/>
                <w:b/>
                <w:color w:val="FFFFFF"/>
                <w:sz w:val="19"/>
              </w:rPr>
              <w:t>L2</w:t>
            </w:r>
          </w:p>
        </w:tc>
        <w:tc>
          <w:tcPr>
            <w:tcW w:type="dxa" w:w="864"/>
            <w:tcMar>
              <w:top w:w="120" w:type="dxa"/>
              <w:bottom w:w="120" w:type="dxa"/>
              <w:left w:w="150" w:type="dxa"/>
              <w:right w:w="150" w:type="dxa"/>
            </w:tcMar>
            <w:shd w:fill="1E3A8A"/>
          </w:tcPr>
          <w:p>
            <w:pPr>
              <w:spacing w:before="40" w:after="40"/>
              <w:jc w:val="center"/>
            </w:pPr>
            <w:r>
              <w:rPr>
                <w:rFonts w:ascii="Calibri" w:hAnsi="Calibri"/>
                <w:b/>
                <w:color w:val="FFFFFF"/>
                <w:sz w:val="19"/>
              </w:rPr>
              <w:t>L3</w:t>
            </w:r>
          </w:p>
        </w:tc>
        <w:tc>
          <w:tcPr>
            <w:tcW w:type="dxa" w:w="1152"/>
            <w:tcMar>
              <w:top w:w="120" w:type="dxa"/>
              <w:bottom w:w="120" w:type="dxa"/>
              <w:left w:w="150" w:type="dxa"/>
              <w:right w:w="150" w:type="dxa"/>
            </w:tcMar>
            <w:shd w:fill="1E3A8A"/>
          </w:tcPr>
          <w:p>
            <w:pPr>
              <w:spacing w:before="40" w:after="40"/>
              <w:jc w:val="center"/>
            </w:pPr>
            <w:r>
              <w:rPr>
                <w:rFonts w:ascii="Calibri" w:hAnsi="Calibri"/>
                <w:b/>
                <w:color w:val="FFFFFF"/>
                <w:sz w:val="19"/>
              </w:rPr>
              <w:t>Dev / Arch</w:t>
            </w:r>
          </w:p>
        </w:tc>
        <w:tc>
          <w:tcPr>
            <w:tcW w:type="dxa" w:w="1152"/>
            <w:tcMar>
              <w:top w:w="120" w:type="dxa"/>
              <w:bottom w:w="120" w:type="dxa"/>
              <w:left w:w="150" w:type="dxa"/>
              <w:right w:w="150" w:type="dxa"/>
            </w:tcMar>
            <w:shd w:fill="1E3A8A"/>
          </w:tcPr>
          <w:p>
            <w:pPr>
              <w:spacing w:before="40" w:after="40"/>
              <w:jc w:val="center"/>
            </w:pPr>
            <w:r>
              <w:rPr>
                <w:rFonts w:ascii="Calibri" w:hAnsi="Calibri"/>
                <w:b/>
                <w:color w:val="FFFFFF"/>
                <w:sz w:val="19"/>
              </w:rPr>
              <w:t>Ops Mgr</w:t>
            </w:r>
          </w:p>
        </w:tc>
        <w:tc>
          <w:tcPr>
            <w:tcW w:type="dxa" w:w="1152"/>
            <w:tcMar>
              <w:top w:w="120" w:type="dxa"/>
              <w:bottom w:w="120" w:type="dxa"/>
              <w:left w:w="150" w:type="dxa"/>
              <w:right w:w="150" w:type="dxa"/>
            </w:tcMar>
            <w:shd w:fill="1E3A8A"/>
          </w:tcPr>
          <w:p>
            <w:pPr>
              <w:spacing w:before="40" w:after="40"/>
              <w:jc w:val="center"/>
            </w:pPr>
            <w:r>
              <w:rPr>
                <w:rFonts w:ascii="Calibri" w:hAnsi="Calibri"/>
                <w:b/>
                <w:color w:val="FFFFFF"/>
                <w:sz w:val="19"/>
              </w:rPr>
              <w:t>Delivery Mgr</w:t>
            </w:r>
          </w:p>
        </w:tc>
      </w:tr>
      <w:tr>
        <w:trPr>
          <w:cantSplit/>
        </w:trPr>
        <w:tc>
          <w:tcPr>
            <w:tcW w:type="dxa" w:w="3600"/>
            <w:tcMar>
              <w:top w:w="120" w:type="dxa"/>
              <w:bottom w:w="120" w:type="dxa"/>
              <w:left w:w="150" w:type="dxa"/>
              <w:right w:w="150" w:type="dxa"/>
            </w:tcMar>
            <w:shd w:fill="F8FAFC"/>
          </w:tcPr>
          <w:p>
            <w:pPr>
              <w:spacing w:before="40" w:after="40"/>
              <w:jc w:val="left"/>
            </w:pPr>
            <w:r>
              <w:rPr>
                <w:rFonts w:ascii="Calibri" w:hAnsi="Calibri"/>
                <w:color w:val="1E293B"/>
                <w:sz w:val="18"/>
              </w:rPr>
              <w:t>Identify Recurring Issue &amp; Create PRB</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R</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R/A</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C</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r>
      <w:tr>
        <w:trPr>
          <w:cantSplit/>
        </w:trPr>
        <w:tc>
          <w:tcPr>
            <w:tcW w:type="dxa" w:w="3600"/>
            <w:tcMar>
              <w:top w:w="120" w:type="dxa"/>
              <w:bottom w:w="120" w:type="dxa"/>
              <w:left w:w="150" w:type="dxa"/>
              <w:right w:w="150" w:type="dxa"/>
            </w:tcMar>
            <w:shd w:fill="FFFFFF"/>
          </w:tcPr>
          <w:p>
            <w:pPr>
              <w:spacing w:before="40" w:after="40"/>
              <w:jc w:val="left"/>
            </w:pPr>
            <w:r>
              <w:rPr>
                <w:rFonts w:ascii="Calibri" w:hAnsi="Calibri"/>
                <w:color w:val="1E293B"/>
                <w:sz w:val="18"/>
              </w:rPr>
              <w:t>Perform Root Cause Analysis (RCA)</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C</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R</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C</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I</w:t>
            </w:r>
          </w:p>
        </w:tc>
      </w:tr>
      <w:tr>
        <w:trPr>
          <w:cantSplit/>
        </w:trPr>
        <w:tc>
          <w:tcPr>
            <w:tcW w:type="dxa" w:w="3600"/>
            <w:tcMar>
              <w:top w:w="120" w:type="dxa"/>
              <w:bottom w:w="120" w:type="dxa"/>
              <w:left w:w="150" w:type="dxa"/>
              <w:right w:w="150" w:type="dxa"/>
            </w:tcMar>
            <w:shd w:fill="F8FAFC"/>
          </w:tcPr>
          <w:p>
            <w:pPr>
              <w:spacing w:before="40" w:after="40"/>
              <w:jc w:val="left"/>
            </w:pPr>
            <w:r>
              <w:rPr>
                <w:rFonts w:ascii="Calibri" w:hAnsi="Calibri"/>
                <w:color w:val="1E293B"/>
                <w:sz w:val="18"/>
              </w:rPr>
              <w:t>Approve RCA &amp; Long-Term Fix</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R</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A</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C</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C</w:t>
            </w:r>
          </w:p>
        </w:tc>
      </w:tr>
      <w:tr>
        <w:trPr>
          <w:cantSplit/>
        </w:trPr>
        <w:tc>
          <w:tcPr>
            <w:tcW w:type="dxa" w:w="3600"/>
            <w:tcMar>
              <w:top w:w="120" w:type="dxa"/>
              <w:bottom w:w="120" w:type="dxa"/>
              <w:left w:w="150" w:type="dxa"/>
              <w:right w:w="150" w:type="dxa"/>
            </w:tcMar>
            <w:shd w:fill="FFFFFF"/>
          </w:tcPr>
          <w:p>
            <w:pPr>
              <w:spacing w:before="40" w:after="40"/>
              <w:jc w:val="left"/>
            </w:pPr>
            <w:r>
              <w:rPr>
                <w:rFonts w:ascii="Calibri" w:hAnsi="Calibri"/>
                <w:color w:val="1E293B"/>
                <w:sz w:val="18"/>
              </w:rPr>
              <w:t>Author Runbooks &amp; Playbooks</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C</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R</w:t>
            </w:r>
          </w:p>
        </w:tc>
        <w:tc>
          <w:tcPr>
            <w:tcW w:type="dxa" w:w="864"/>
            <w:tcMar>
              <w:top w:w="120" w:type="dxa"/>
              <w:bottom w:w="120" w:type="dxa"/>
              <w:left w:w="150" w:type="dxa"/>
              <w:right w:w="150" w:type="dxa"/>
            </w:tcMar>
            <w:shd w:fill="FFFFFF"/>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A</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C</w:t>
            </w:r>
          </w:p>
        </w:tc>
        <w:tc>
          <w:tcPr>
            <w:tcW w:type="dxa" w:w="1152"/>
            <w:tcMar>
              <w:top w:w="120" w:type="dxa"/>
              <w:bottom w:w="120" w:type="dxa"/>
              <w:left w:w="150" w:type="dxa"/>
              <w:right w:w="150" w:type="dxa"/>
            </w:tcMar>
            <w:shd w:fill="FFFFFF"/>
          </w:tcPr>
          <w:p>
            <w:pPr>
              <w:spacing w:before="40" w:after="40"/>
              <w:jc w:val="center"/>
            </w:pPr>
            <w:r>
              <w:rPr>
                <w:rFonts w:ascii="Calibri" w:hAnsi="Calibri"/>
                <w:color w:val="1E293B"/>
                <w:sz w:val="18"/>
              </w:rPr>
              <w:t>I</w:t>
            </w:r>
          </w:p>
        </w:tc>
      </w:tr>
      <w:tr>
        <w:trPr>
          <w:cantSplit/>
        </w:trPr>
        <w:tc>
          <w:tcPr>
            <w:tcW w:type="dxa" w:w="3600"/>
            <w:tcMar>
              <w:top w:w="120" w:type="dxa"/>
              <w:bottom w:w="120" w:type="dxa"/>
              <w:left w:w="150" w:type="dxa"/>
              <w:right w:w="150" w:type="dxa"/>
            </w:tcMar>
            <w:shd w:fill="F8FAFC"/>
          </w:tcPr>
          <w:p>
            <w:pPr>
              <w:spacing w:before="40" w:after="40"/>
              <w:jc w:val="left"/>
            </w:pPr>
            <w:r>
              <w:rPr>
                <w:rFonts w:ascii="Calibri" w:hAnsi="Calibri"/>
                <w:color w:val="1E293B"/>
                <w:sz w:val="18"/>
              </w:rPr>
              <w:t>Create KB Articles</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R</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R</w:t>
            </w:r>
          </w:p>
        </w:tc>
        <w:tc>
          <w:tcPr>
            <w:tcW w:type="dxa" w:w="864"/>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I</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A</w:t>
            </w:r>
          </w:p>
        </w:tc>
        <w:tc>
          <w:tcPr>
            <w:tcW w:type="dxa" w:w="1152"/>
            <w:tcMar>
              <w:top w:w="120" w:type="dxa"/>
              <w:bottom w:w="120" w:type="dxa"/>
              <w:left w:w="150" w:type="dxa"/>
              <w:right w:w="150" w:type="dxa"/>
            </w:tcMar>
            <w:shd w:fill="F8FAFC"/>
          </w:tcPr>
          <w:p>
            <w:pPr>
              <w:spacing w:before="40" w:after="40"/>
              <w:jc w:val="center"/>
            </w:pPr>
            <w:r>
              <w:rPr>
                <w:rFonts w:ascii="Calibri" w:hAnsi="Calibri"/>
                <w:color w:val="1E293B"/>
                <w:sz w:val="18"/>
              </w:rPr>
              <w:t>C</w:t>
            </w:r>
          </w:p>
        </w:tc>
      </w:tr>
    </w:tbl>
    <w:p>
      <w:pPr>
        <w:spacing w:after="120"/>
      </w:pPr>
    </w:p>
    <w:p>
      <w:pPr>
        <w:keepNext/>
        <w:spacing w:before="320" w:after="120"/>
      </w:pPr>
      <w:r>
        <w:rPr>
          <w:rFonts w:ascii="Calibri" w:hAnsi="Calibri"/>
          <w:b/>
          <w:color w:val="1E3A8A"/>
          <w:sz w:val="28"/>
        </w:rPr>
        <w:t>14. Operational Metrics, Reporting &amp; Continuous Improvement</w:t>
      </w:r>
    </w:p>
    <w:p>
      <w:pPr>
        <w:pStyle w:val="ListBullet"/>
        <w:spacing w:after="60"/>
      </w:pPr>
      <w:r>
        <w:rPr>
          <w:b/>
          <w:color w:val="1E3A8A"/>
        </w:rPr>
        <w:t xml:space="preserve">SLA Compliance Rate (%): </w:t>
      </w:r>
      <w:r>
        <w:t>Percentage of incidents acknowledged and resolved within target SLAs (Benchmark: &gt;= 95%).</w:t>
      </w:r>
    </w:p>
    <w:p>
      <w:pPr>
        <w:pStyle w:val="ListBullet"/>
        <w:spacing w:after="60"/>
      </w:pPr>
      <w:r>
        <w:rPr>
          <w:b/>
          <w:color w:val="1E3A8A"/>
        </w:rPr>
        <w:t xml:space="preserve">Mean Time to Repair (MTTR): </w:t>
      </w:r>
      <w:r>
        <w:t>Segmented across control-plane, worker nodes, CI/CD runners, storage, and databases to pinpoint performance bottlenecks.</w:t>
      </w:r>
    </w:p>
    <w:p>
      <w:pPr>
        <w:pStyle w:val="ListBullet"/>
        <w:spacing w:after="60"/>
      </w:pPr>
      <w:r>
        <w:rPr>
          <w:b/>
          <w:color w:val="1E3A8A"/>
        </w:rPr>
        <w:t xml:space="preserve">Mean Time to Acknowledge (MTTA): </w:t>
      </w:r>
      <w:r>
        <w:t>Tracks intake efficiency across L1 shift teams.</w:t>
      </w:r>
    </w:p>
    <w:p>
      <w:pPr>
        <w:pStyle w:val="ListBullet"/>
        <w:spacing w:after="60"/>
      </w:pPr>
      <w:r>
        <w:rPr>
          <w:b/>
          <w:color w:val="1E3A8A"/>
        </w:rPr>
        <w:t xml:space="preserve">Shift-Left First Contact Resolution (%): </w:t>
      </w:r>
      <w:r>
        <w:t>Percentage of incidents resolved by L1 without requiring escalation to engineering tiers.</w:t>
      </w:r>
    </w:p>
    <w:p>
      <w:pPr>
        <w:pStyle w:val="ListBullet"/>
        <w:spacing w:after="60"/>
      </w:pPr>
      <w:r>
        <w:rPr>
          <w:b/>
          <w:color w:val="1E3A8A"/>
        </w:rPr>
        <w:t xml:space="preserve">Repeat Incident Index: </w:t>
      </w:r>
      <w:r>
        <w:t>Tracking recurring failures tied to identical root causes within rolling 30-day windows.</w:t>
      </w:r>
    </w:p>
    <w:p>
      <w:pPr>
        <w:pStyle w:val="ListBullet"/>
        <w:spacing w:after="60"/>
      </w:pPr>
      <w:r>
        <w:rPr>
          <w:b/>
          <w:color w:val="1E3A8A"/>
        </w:rPr>
        <w:t xml:space="preserve">Change Success Rate (%): </w:t>
      </w:r>
      <w:r>
        <w:t>Percentage of standard and emergency changes completed without causing an incident or triggering a rollback.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