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614E" w14:textId="7E3283F3" w:rsidR="00371514" w:rsidRDefault="000817C9" w:rsidP="00856FFA">
      <w:pPr>
        <w:pStyle w:val="Title"/>
        <w:rPr>
          <w:sz w:val="96"/>
          <w:szCs w:val="96"/>
          <w:lang w:val="en-US"/>
        </w:rPr>
      </w:pPr>
      <w:r w:rsidRPr="002A164B">
        <w:rPr>
          <w:sz w:val="96"/>
          <w:szCs w:val="96"/>
          <w:lang w:val="en-US"/>
        </w:rPr>
        <w:t>Term Paper</w:t>
      </w:r>
    </w:p>
    <w:p w14:paraId="5D62ADC3" w14:textId="77777777" w:rsidR="006F0339" w:rsidRDefault="006F0339" w:rsidP="006F0339"/>
    <w:p w14:paraId="7992E9C1" w14:textId="141E9C68" w:rsidR="006F0339" w:rsidRPr="006F0339" w:rsidRDefault="006F0339" w:rsidP="006F0339">
      <w:pPr>
        <w:jc w:val="center"/>
        <w:rPr>
          <w:sz w:val="22"/>
          <w:szCs w:val="22"/>
        </w:rPr>
      </w:pPr>
      <w:r w:rsidRPr="002A164B">
        <w:rPr>
          <w:rFonts w:eastAsia="Times New Roman"/>
          <w:b/>
          <w:bCs/>
          <w:sz w:val="32"/>
          <w:szCs w:val="32"/>
        </w:rPr>
        <w:br/>
      </w:r>
      <w:r w:rsidRPr="006F0339">
        <w:rPr>
          <w:rFonts w:eastAsia="Times New Roman"/>
          <w:b/>
          <w:bCs/>
          <w:sz w:val="28"/>
          <w:szCs w:val="28"/>
        </w:rPr>
        <w:t>The impact of political cycles on monetary policy in the United States</w:t>
      </w:r>
    </w:p>
    <w:p w14:paraId="2329F2D8" w14:textId="77777777" w:rsidR="002A164B" w:rsidRPr="002A164B" w:rsidRDefault="002A164B" w:rsidP="002A164B"/>
    <w:p w14:paraId="07D1F3C2" w14:textId="77777777" w:rsidR="002A164B" w:rsidRDefault="002A164B" w:rsidP="002A164B"/>
    <w:p w14:paraId="5A5CFD28" w14:textId="77777777" w:rsidR="002A164B" w:rsidRDefault="002A164B" w:rsidP="002A164B">
      <w:pPr>
        <w:spacing w:after="0" w:line="240" w:lineRule="auto"/>
        <w:jc w:val="center"/>
        <w:rPr>
          <w:rFonts w:eastAsia="Times New Roman"/>
          <w:b/>
          <w:bCs/>
          <w:sz w:val="32"/>
          <w:szCs w:val="32"/>
        </w:rPr>
      </w:pPr>
      <w:r w:rsidRPr="002A164B">
        <w:rPr>
          <w:rFonts w:eastAsia="Times New Roman"/>
          <w:b/>
          <w:bCs/>
          <w:sz w:val="32"/>
          <w:szCs w:val="32"/>
        </w:rPr>
        <w:t>NATIONAL RESEARCH UNIVERSITY</w:t>
      </w:r>
      <w:r w:rsidRPr="002A164B">
        <w:rPr>
          <w:rFonts w:eastAsia="Times New Roman"/>
          <w:b/>
          <w:bCs/>
          <w:sz w:val="32"/>
          <w:szCs w:val="32"/>
        </w:rPr>
        <w:br/>
        <w:t>HIGHER SCHOOL OF ECONOMICS</w:t>
      </w:r>
    </w:p>
    <w:p w14:paraId="4CF7215A" w14:textId="77777777" w:rsidR="002A164B" w:rsidRPr="002A164B" w:rsidRDefault="002A164B" w:rsidP="002A164B">
      <w:pPr>
        <w:spacing w:after="0" w:line="240" w:lineRule="auto"/>
        <w:jc w:val="center"/>
        <w:rPr>
          <w:rFonts w:eastAsia="Times New Roman"/>
          <w:b/>
          <w:bCs/>
          <w:sz w:val="32"/>
          <w:szCs w:val="32"/>
        </w:rPr>
      </w:pPr>
    </w:p>
    <w:p w14:paraId="1D50C486" w14:textId="77777777" w:rsidR="002A164B" w:rsidRDefault="002A164B" w:rsidP="002A164B">
      <w:pPr>
        <w:jc w:val="center"/>
      </w:pPr>
    </w:p>
    <w:p w14:paraId="63635B9B" w14:textId="77777777" w:rsidR="002A164B" w:rsidRPr="002A164B" w:rsidRDefault="002A164B" w:rsidP="002A164B">
      <w:pPr>
        <w:spacing w:after="0" w:line="240" w:lineRule="auto"/>
        <w:jc w:val="center"/>
        <w:rPr>
          <w:rFonts w:eastAsia="Times New Roman"/>
          <w:sz w:val="32"/>
          <w:szCs w:val="32"/>
        </w:rPr>
      </w:pPr>
      <w:r w:rsidRPr="00C962DA">
        <w:rPr>
          <w:rFonts w:eastAsia="Times New Roman"/>
          <w:b/>
          <w:bCs/>
        </w:rPr>
        <w:br/>
      </w:r>
      <w:r w:rsidRPr="002A164B">
        <w:rPr>
          <w:rFonts w:eastAsia="Times New Roman"/>
          <w:sz w:val="32"/>
          <w:szCs w:val="32"/>
        </w:rPr>
        <w:t>St. Petersburg School of Social Sciences and Area Studies</w:t>
      </w:r>
      <w:r w:rsidRPr="002A164B">
        <w:rPr>
          <w:rFonts w:eastAsia="Times New Roman"/>
          <w:sz w:val="32"/>
          <w:szCs w:val="32"/>
        </w:rPr>
        <w:br/>
        <w:t>Programme in Political Science and World Politics</w:t>
      </w:r>
    </w:p>
    <w:p w14:paraId="75BE362D" w14:textId="77777777" w:rsidR="002A164B" w:rsidRPr="002A164B" w:rsidRDefault="002A164B" w:rsidP="002A164B">
      <w:pPr>
        <w:spacing w:after="0" w:line="240" w:lineRule="auto"/>
        <w:jc w:val="center"/>
        <w:rPr>
          <w:rFonts w:eastAsia="Times New Roman"/>
          <w:sz w:val="32"/>
          <w:szCs w:val="32"/>
        </w:rPr>
      </w:pPr>
    </w:p>
    <w:p w14:paraId="4EBB9701" w14:textId="77777777" w:rsidR="002A164B" w:rsidRPr="002A164B" w:rsidRDefault="002A164B" w:rsidP="002A164B">
      <w:pPr>
        <w:spacing w:after="0" w:line="240" w:lineRule="auto"/>
        <w:jc w:val="center"/>
        <w:rPr>
          <w:rFonts w:eastAsia="Times New Roman"/>
          <w:sz w:val="32"/>
          <w:szCs w:val="32"/>
        </w:rPr>
      </w:pPr>
    </w:p>
    <w:p w14:paraId="1D3159A1" w14:textId="77777777" w:rsidR="002A164B" w:rsidRPr="002A164B" w:rsidRDefault="002A164B" w:rsidP="002A164B">
      <w:pPr>
        <w:spacing w:after="0" w:line="240" w:lineRule="auto"/>
        <w:jc w:val="center"/>
        <w:rPr>
          <w:rFonts w:eastAsia="Times New Roman"/>
          <w:sz w:val="32"/>
          <w:szCs w:val="32"/>
        </w:rPr>
      </w:pPr>
    </w:p>
    <w:p w14:paraId="094843F1" w14:textId="77777777" w:rsidR="002A164B" w:rsidRPr="002A164B" w:rsidRDefault="002A164B" w:rsidP="002A164B">
      <w:pPr>
        <w:spacing w:after="0" w:line="240" w:lineRule="auto"/>
        <w:jc w:val="center"/>
        <w:rPr>
          <w:rFonts w:eastAsia="Times New Roman"/>
          <w:sz w:val="32"/>
          <w:szCs w:val="32"/>
        </w:rPr>
      </w:pPr>
      <w:r w:rsidRPr="002A164B">
        <w:rPr>
          <w:rFonts w:eastAsia="Times New Roman"/>
          <w:sz w:val="32"/>
          <w:szCs w:val="32"/>
        </w:rPr>
        <w:br/>
        <w:t>Timothy Lokotar</w:t>
      </w:r>
    </w:p>
    <w:p w14:paraId="34632ED9" w14:textId="77777777" w:rsidR="002A164B" w:rsidRPr="002A164B" w:rsidRDefault="002A164B" w:rsidP="002A164B">
      <w:pPr>
        <w:spacing w:after="0" w:line="240" w:lineRule="auto"/>
        <w:jc w:val="center"/>
        <w:rPr>
          <w:rFonts w:eastAsia="Times New Roman"/>
          <w:b/>
          <w:bCs/>
          <w:sz w:val="32"/>
          <w:szCs w:val="32"/>
        </w:rPr>
      </w:pPr>
    </w:p>
    <w:p w14:paraId="5C08FA72" w14:textId="77777777" w:rsidR="002A164B" w:rsidRPr="002A164B" w:rsidRDefault="002A164B" w:rsidP="002A164B">
      <w:pPr>
        <w:spacing w:after="0" w:line="240" w:lineRule="auto"/>
        <w:jc w:val="center"/>
        <w:rPr>
          <w:rFonts w:eastAsia="Times New Roman"/>
          <w:b/>
          <w:bCs/>
          <w:sz w:val="32"/>
          <w:szCs w:val="32"/>
        </w:rPr>
      </w:pPr>
    </w:p>
    <w:p w14:paraId="5F7CC96B" w14:textId="77777777" w:rsidR="002A164B" w:rsidRPr="002A164B" w:rsidRDefault="002A164B" w:rsidP="002A164B">
      <w:pPr>
        <w:spacing w:after="0" w:line="240" w:lineRule="auto"/>
        <w:jc w:val="center"/>
        <w:rPr>
          <w:rFonts w:eastAsia="Times New Roman"/>
          <w:b/>
          <w:bCs/>
          <w:sz w:val="32"/>
          <w:szCs w:val="32"/>
        </w:rPr>
      </w:pPr>
    </w:p>
    <w:p w14:paraId="5147FE30" w14:textId="77777777" w:rsidR="002A164B" w:rsidRPr="002A164B" w:rsidRDefault="002A164B" w:rsidP="002A164B">
      <w:pPr>
        <w:spacing w:after="0" w:line="240" w:lineRule="auto"/>
        <w:jc w:val="center"/>
        <w:rPr>
          <w:rFonts w:eastAsia="Times New Roman"/>
          <w:b/>
          <w:bCs/>
          <w:sz w:val="32"/>
          <w:szCs w:val="32"/>
        </w:rPr>
      </w:pPr>
    </w:p>
    <w:p w14:paraId="51EF5BFE" w14:textId="3C152697" w:rsidR="002A164B" w:rsidRPr="00C962DA" w:rsidRDefault="002A164B" w:rsidP="002A164B">
      <w:pPr>
        <w:spacing w:after="0" w:line="240" w:lineRule="auto"/>
        <w:jc w:val="center"/>
        <w:rPr>
          <w:rFonts w:eastAsia="Times New Roman"/>
          <w:b/>
          <w:bCs/>
        </w:rPr>
      </w:pPr>
      <w:r w:rsidRPr="00C962DA">
        <w:rPr>
          <w:rFonts w:eastAsia="Times New Roman"/>
          <w:b/>
          <w:bCs/>
        </w:rPr>
        <w:br/>
      </w:r>
    </w:p>
    <w:p w14:paraId="5E9A0C65" w14:textId="77777777" w:rsidR="002A164B" w:rsidRDefault="002A164B" w:rsidP="006F0339">
      <w:pPr>
        <w:spacing w:after="0" w:line="240" w:lineRule="auto"/>
        <w:ind w:right="360"/>
        <w:jc w:val="right"/>
        <w:rPr>
          <w:rFonts w:eastAsia="Times New Roman"/>
          <w:b/>
          <w:bCs/>
        </w:rPr>
      </w:pPr>
    </w:p>
    <w:p w14:paraId="137474B5" w14:textId="77777777" w:rsidR="002A164B" w:rsidRDefault="002A164B" w:rsidP="002A164B">
      <w:pPr>
        <w:spacing w:after="0" w:line="240" w:lineRule="auto"/>
        <w:jc w:val="right"/>
        <w:rPr>
          <w:rFonts w:eastAsia="Times New Roman"/>
          <w:b/>
          <w:bCs/>
        </w:rPr>
      </w:pPr>
    </w:p>
    <w:p w14:paraId="30456956" w14:textId="77777777" w:rsidR="002A164B" w:rsidRDefault="002A164B" w:rsidP="002A164B">
      <w:pPr>
        <w:spacing w:after="0" w:line="240" w:lineRule="auto"/>
        <w:jc w:val="right"/>
        <w:rPr>
          <w:rFonts w:eastAsia="Times New Roman"/>
          <w:b/>
          <w:bCs/>
        </w:rPr>
      </w:pPr>
    </w:p>
    <w:p w14:paraId="35485503" w14:textId="77777777" w:rsidR="002A164B" w:rsidRDefault="002A164B" w:rsidP="00B00D6B">
      <w:pPr>
        <w:spacing w:after="0" w:line="240" w:lineRule="auto"/>
        <w:ind w:right="360"/>
        <w:jc w:val="right"/>
        <w:rPr>
          <w:rFonts w:eastAsia="Times New Roman"/>
          <w:b/>
          <w:bCs/>
        </w:rPr>
      </w:pPr>
    </w:p>
    <w:p w14:paraId="107F16FC" w14:textId="4DF9F972" w:rsidR="002A164B" w:rsidRPr="00B00D6B" w:rsidRDefault="002A164B" w:rsidP="002A164B">
      <w:pPr>
        <w:spacing w:after="0" w:line="240" w:lineRule="auto"/>
        <w:jc w:val="right"/>
        <w:rPr>
          <w:sz w:val="32"/>
          <w:szCs w:val="32"/>
        </w:rPr>
      </w:pPr>
      <w:r w:rsidRPr="00B00D6B">
        <w:rPr>
          <w:rFonts w:eastAsia="Times New Roman"/>
          <w:b/>
          <w:bCs/>
          <w:sz w:val="32"/>
          <w:szCs w:val="32"/>
        </w:rPr>
        <w:br/>
      </w:r>
      <w:r w:rsidRPr="00B00D6B">
        <w:rPr>
          <w:rFonts w:eastAsia="Times New Roman"/>
          <w:sz w:val="32"/>
          <w:szCs w:val="32"/>
        </w:rPr>
        <w:t>Academic Supervisor</w:t>
      </w:r>
      <w:r w:rsidRPr="00B00D6B">
        <w:rPr>
          <w:rFonts w:eastAsia="Times New Roman"/>
          <w:sz w:val="32"/>
          <w:szCs w:val="32"/>
        </w:rPr>
        <w:br/>
      </w:r>
      <w:r w:rsidRPr="00B00D6B">
        <w:rPr>
          <w:sz w:val="32"/>
          <w:szCs w:val="32"/>
        </w:rPr>
        <w:t>Academic Supervisor Rozmainsky Ivan Vadimovich,</w:t>
      </w:r>
    </w:p>
    <w:p w14:paraId="76A18880" w14:textId="77777777" w:rsidR="002A164B" w:rsidRPr="00B00D6B" w:rsidRDefault="002A164B" w:rsidP="002A164B">
      <w:pPr>
        <w:spacing w:after="0" w:line="240" w:lineRule="auto"/>
        <w:jc w:val="right"/>
        <w:rPr>
          <w:rFonts w:eastAsia="Times New Roman"/>
          <w:sz w:val="32"/>
          <w:szCs w:val="32"/>
        </w:rPr>
      </w:pPr>
      <w:r w:rsidRPr="00B00D6B">
        <w:rPr>
          <w:sz w:val="32"/>
          <w:szCs w:val="32"/>
        </w:rPr>
        <w:t>Associate Professor, St. Petersburg Department of Economics</w:t>
      </w:r>
    </w:p>
    <w:p w14:paraId="46830EDF" w14:textId="77777777" w:rsidR="002A164B" w:rsidRPr="002A164B" w:rsidRDefault="002A164B" w:rsidP="002A164B">
      <w:pPr>
        <w:jc w:val="center"/>
      </w:pPr>
    </w:p>
    <w:p w14:paraId="72FCEFB8" w14:textId="77777777" w:rsidR="00371514" w:rsidRPr="00371514" w:rsidRDefault="00371514">
      <w:pPr>
        <w:rPr>
          <w:rFonts w:eastAsiaTheme="majorEastAsia"/>
          <w:spacing w:val="-10"/>
          <w:kern w:val="28"/>
          <w:sz w:val="56"/>
          <w:szCs w:val="56"/>
        </w:rPr>
      </w:pPr>
      <w:r w:rsidRPr="00371514">
        <w:br w:type="page"/>
      </w:r>
    </w:p>
    <w:sdt>
      <w:sdtPr>
        <w:rPr>
          <w:rFonts w:ascii="Times New Roman" w:eastAsiaTheme="minorEastAsia" w:hAnsi="Times New Roman" w:cs="Times New Roman"/>
          <w:color w:val="auto"/>
          <w:kern w:val="2"/>
          <w:sz w:val="24"/>
          <w:szCs w:val="24"/>
          <w:lang w:val="fr-FR"/>
          <w14:ligatures w14:val="standardContextual"/>
        </w:rPr>
        <w:id w:val="-1357641925"/>
        <w:docPartObj>
          <w:docPartGallery w:val="Table of Contents"/>
          <w:docPartUnique/>
        </w:docPartObj>
      </w:sdtPr>
      <w:sdtEndPr>
        <w:rPr>
          <w:b/>
          <w:bCs/>
        </w:rPr>
      </w:sdtEndPr>
      <w:sdtContent>
        <w:p w14:paraId="6703F759" w14:textId="1E350792" w:rsidR="00371514" w:rsidRPr="00371514" w:rsidRDefault="00371514" w:rsidP="00371514">
          <w:pPr>
            <w:pStyle w:val="TOCHeading"/>
            <w:rPr>
              <w:rFonts w:ascii="Times New Roman" w:hAnsi="Times New Roman" w:cs="Times New Roman"/>
              <w:color w:val="auto"/>
              <w:lang w:val="en-US"/>
            </w:rPr>
          </w:pPr>
          <w:r w:rsidRPr="00371514">
            <w:rPr>
              <w:rStyle w:val="Heading1Char"/>
              <w:color w:val="auto"/>
              <w:lang w:val="en-US"/>
            </w:rPr>
            <w:t>Index</w:t>
          </w:r>
          <w:r w:rsidRPr="00371514">
            <w:rPr>
              <w:rFonts w:ascii="Times New Roman" w:hAnsi="Times New Roman" w:cs="Times New Roman"/>
              <w:color w:val="auto"/>
              <w:lang w:val="en-US"/>
            </w:rPr>
            <w:t xml:space="preserve"> </w:t>
          </w:r>
        </w:p>
        <w:p w14:paraId="1E977734" w14:textId="6C73E175" w:rsidR="001519C7" w:rsidRDefault="00371514">
          <w:pPr>
            <w:pStyle w:val="TOC1"/>
            <w:tabs>
              <w:tab w:val="right" w:leader="dot" w:pos="9062"/>
            </w:tabs>
            <w:rPr>
              <w:rFonts w:cstheme="minorBidi"/>
              <w:noProof/>
              <w:kern w:val="2"/>
              <w:sz w:val="24"/>
              <w:szCs w:val="24"/>
              <w14:ligatures w14:val="standardContextual"/>
            </w:rPr>
          </w:pPr>
          <w:r w:rsidRPr="00371514">
            <w:rPr>
              <w:rFonts w:ascii="Times New Roman" w:hAnsi="Times New Roman"/>
            </w:rPr>
            <w:fldChar w:fldCharType="begin"/>
          </w:r>
          <w:r w:rsidRPr="00371514">
            <w:rPr>
              <w:rFonts w:ascii="Times New Roman" w:hAnsi="Times New Roman"/>
            </w:rPr>
            <w:instrText xml:space="preserve"> TOC \o "1-3" \h \z \u </w:instrText>
          </w:r>
          <w:r w:rsidRPr="00371514">
            <w:rPr>
              <w:rFonts w:ascii="Times New Roman" w:hAnsi="Times New Roman"/>
            </w:rPr>
            <w:fldChar w:fldCharType="separate"/>
          </w:r>
          <w:hyperlink w:anchor="_Toc208240145" w:history="1">
            <w:r w:rsidR="001519C7" w:rsidRPr="00F01A60">
              <w:rPr>
                <w:rStyle w:val="Hyperlink"/>
                <w:noProof/>
              </w:rPr>
              <w:t>Abstract</w:t>
            </w:r>
            <w:r w:rsidR="001519C7">
              <w:rPr>
                <w:noProof/>
                <w:webHidden/>
              </w:rPr>
              <w:tab/>
            </w:r>
            <w:r w:rsidR="001519C7">
              <w:rPr>
                <w:noProof/>
                <w:webHidden/>
              </w:rPr>
              <w:fldChar w:fldCharType="begin"/>
            </w:r>
            <w:r w:rsidR="001519C7">
              <w:rPr>
                <w:noProof/>
                <w:webHidden/>
              </w:rPr>
              <w:instrText xml:space="preserve"> PAGEREF _Toc208240145 \h </w:instrText>
            </w:r>
            <w:r w:rsidR="001519C7">
              <w:rPr>
                <w:noProof/>
                <w:webHidden/>
              </w:rPr>
            </w:r>
            <w:r w:rsidR="001519C7">
              <w:rPr>
                <w:noProof/>
                <w:webHidden/>
              </w:rPr>
              <w:fldChar w:fldCharType="separate"/>
            </w:r>
            <w:r w:rsidR="001519C7">
              <w:rPr>
                <w:noProof/>
                <w:webHidden/>
              </w:rPr>
              <w:t>3</w:t>
            </w:r>
            <w:r w:rsidR="001519C7">
              <w:rPr>
                <w:noProof/>
                <w:webHidden/>
              </w:rPr>
              <w:fldChar w:fldCharType="end"/>
            </w:r>
          </w:hyperlink>
        </w:p>
        <w:p w14:paraId="33C4BAB7" w14:textId="0EB65774" w:rsidR="001519C7" w:rsidRDefault="001519C7">
          <w:pPr>
            <w:pStyle w:val="TOC1"/>
            <w:tabs>
              <w:tab w:val="right" w:leader="dot" w:pos="9062"/>
            </w:tabs>
            <w:rPr>
              <w:rFonts w:cstheme="minorBidi"/>
              <w:noProof/>
              <w:kern w:val="2"/>
              <w:sz w:val="24"/>
              <w:szCs w:val="24"/>
              <w14:ligatures w14:val="standardContextual"/>
            </w:rPr>
          </w:pPr>
          <w:hyperlink w:anchor="_Toc208240146" w:history="1">
            <w:r w:rsidRPr="00F01A60">
              <w:rPr>
                <w:rStyle w:val="Hyperlink"/>
                <w:noProof/>
                <w:lang w:val="en-US"/>
              </w:rPr>
              <w:t>Introduction</w:t>
            </w:r>
            <w:r>
              <w:rPr>
                <w:noProof/>
                <w:webHidden/>
              </w:rPr>
              <w:tab/>
            </w:r>
            <w:r>
              <w:rPr>
                <w:noProof/>
                <w:webHidden/>
              </w:rPr>
              <w:fldChar w:fldCharType="begin"/>
            </w:r>
            <w:r>
              <w:rPr>
                <w:noProof/>
                <w:webHidden/>
              </w:rPr>
              <w:instrText xml:space="preserve"> PAGEREF _Toc208240146 \h </w:instrText>
            </w:r>
            <w:r>
              <w:rPr>
                <w:noProof/>
                <w:webHidden/>
              </w:rPr>
            </w:r>
            <w:r>
              <w:rPr>
                <w:noProof/>
                <w:webHidden/>
              </w:rPr>
              <w:fldChar w:fldCharType="separate"/>
            </w:r>
            <w:r>
              <w:rPr>
                <w:noProof/>
                <w:webHidden/>
              </w:rPr>
              <w:t>4</w:t>
            </w:r>
            <w:r>
              <w:rPr>
                <w:noProof/>
                <w:webHidden/>
              </w:rPr>
              <w:fldChar w:fldCharType="end"/>
            </w:r>
          </w:hyperlink>
        </w:p>
        <w:p w14:paraId="1D3BDA7F" w14:textId="03DFA92F" w:rsidR="001519C7" w:rsidRDefault="001519C7">
          <w:pPr>
            <w:pStyle w:val="TOC1"/>
            <w:tabs>
              <w:tab w:val="right" w:leader="dot" w:pos="9062"/>
            </w:tabs>
            <w:rPr>
              <w:rFonts w:cstheme="minorBidi"/>
              <w:noProof/>
              <w:kern w:val="2"/>
              <w:sz w:val="24"/>
              <w:szCs w:val="24"/>
              <w14:ligatures w14:val="standardContextual"/>
            </w:rPr>
          </w:pPr>
          <w:hyperlink w:anchor="_Toc208240147" w:history="1">
            <w:r w:rsidRPr="00F01A60">
              <w:rPr>
                <w:rStyle w:val="Hyperlink"/>
                <w:noProof/>
                <w:lang w:val="en-US"/>
              </w:rPr>
              <w:t>Literature Review</w:t>
            </w:r>
            <w:r>
              <w:rPr>
                <w:noProof/>
                <w:webHidden/>
              </w:rPr>
              <w:tab/>
            </w:r>
            <w:r>
              <w:rPr>
                <w:noProof/>
                <w:webHidden/>
              </w:rPr>
              <w:fldChar w:fldCharType="begin"/>
            </w:r>
            <w:r>
              <w:rPr>
                <w:noProof/>
                <w:webHidden/>
              </w:rPr>
              <w:instrText xml:space="preserve"> PAGEREF _Toc208240147 \h </w:instrText>
            </w:r>
            <w:r>
              <w:rPr>
                <w:noProof/>
                <w:webHidden/>
              </w:rPr>
            </w:r>
            <w:r>
              <w:rPr>
                <w:noProof/>
                <w:webHidden/>
              </w:rPr>
              <w:fldChar w:fldCharType="separate"/>
            </w:r>
            <w:r>
              <w:rPr>
                <w:noProof/>
                <w:webHidden/>
              </w:rPr>
              <w:t>5</w:t>
            </w:r>
            <w:r>
              <w:rPr>
                <w:noProof/>
                <w:webHidden/>
              </w:rPr>
              <w:fldChar w:fldCharType="end"/>
            </w:r>
          </w:hyperlink>
        </w:p>
        <w:p w14:paraId="1C39EFB7" w14:textId="1E16EA19" w:rsidR="001519C7" w:rsidRDefault="001519C7">
          <w:pPr>
            <w:pStyle w:val="TOC1"/>
            <w:tabs>
              <w:tab w:val="right" w:leader="dot" w:pos="9062"/>
            </w:tabs>
            <w:rPr>
              <w:rFonts w:cstheme="minorBidi"/>
              <w:noProof/>
              <w:kern w:val="2"/>
              <w:sz w:val="24"/>
              <w:szCs w:val="24"/>
              <w14:ligatures w14:val="standardContextual"/>
            </w:rPr>
          </w:pPr>
          <w:hyperlink w:anchor="_Toc208240148" w:history="1">
            <w:r w:rsidRPr="00F01A60">
              <w:rPr>
                <w:rStyle w:val="Hyperlink"/>
                <w:noProof/>
                <w:lang w:val="en-US"/>
              </w:rPr>
              <w:t>Quantitative Analysis</w:t>
            </w:r>
            <w:r>
              <w:rPr>
                <w:noProof/>
                <w:webHidden/>
              </w:rPr>
              <w:tab/>
            </w:r>
            <w:r>
              <w:rPr>
                <w:noProof/>
                <w:webHidden/>
              </w:rPr>
              <w:fldChar w:fldCharType="begin"/>
            </w:r>
            <w:r>
              <w:rPr>
                <w:noProof/>
                <w:webHidden/>
              </w:rPr>
              <w:instrText xml:space="preserve"> PAGEREF _Toc208240148 \h </w:instrText>
            </w:r>
            <w:r>
              <w:rPr>
                <w:noProof/>
                <w:webHidden/>
              </w:rPr>
            </w:r>
            <w:r>
              <w:rPr>
                <w:noProof/>
                <w:webHidden/>
              </w:rPr>
              <w:fldChar w:fldCharType="separate"/>
            </w:r>
            <w:r>
              <w:rPr>
                <w:noProof/>
                <w:webHidden/>
              </w:rPr>
              <w:t>13</w:t>
            </w:r>
            <w:r>
              <w:rPr>
                <w:noProof/>
                <w:webHidden/>
              </w:rPr>
              <w:fldChar w:fldCharType="end"/>
            </w:r>
          </w:hyperlink>
        </w:p>
        <w:p w14:paraId="75ADEE15" w14:textId="060312DE" w:rsidR="001519C7" w:rsidRDefault="001519C7">
          <w:pPr>
            <w:pStyle w:val="TOC2"/>
            <w:tabs>
              <w:tab w:val="right" w:leader="dot" w:pos="9062"/>
            </w:tabs>
            <w:rPr>
              <w:rFonts w:cstheme="minorBidi"/>
              <w:noProof/>
              <w:kern w:val="2"/>
              <w:sz w:val="24"/>
              <w:szCs w:val="24"/>
              <w14:ligatures w14:val="standardContextual"/>
            </w:rPr>
          </w:pPr>
          <w:hyperlink w:anchor="_Toc208240149" w:history="1">
            <w:r w:rsidRPr="00F01A60">
              <w:rPr>
                <w:rStyle w:val="Hyperlink"/>
                <w:noProof/>
              </w:rPr>
              <w:t>Methodology and Justification</w:t>
            </w:r>
            <w:r>
              <w:rPr>
                <w:noProof/>
                <w:webHidden/>
              </w:rPr>
              <w:tab/>
            </w:r>
            <w:r>
              <w:rPr>
                <w:noProof/>
                <w:webHidden/>
              </w:rPr>
              <w:fldChar w:fldCharType="begin"/>
            </w:r>
            <w:r>
              <w:rPr>
                <w:noProof/>
                <w:webHidden/>
              </w:rPr>
              <w:instrText xml:space="preserve"> PAGEREF _Toc208240149 \h </w:instrText>
            </w:r>
            <w:r>
              <w:rPr>
                <w:noProof/>
                <w:webHidden/>
              </w:rPr>
            </w:r>
            <w:r>
              <w:rPr>
                <w:noProof/>
                <w:webHidden/>
              </w:rPr>
              <w:fldChar w:fldCharType="separate"/>
            </w:r>
            <w:r>
              <w:rPr>
                <w:noProof/>
                <w:webHidden/>
              </w:rPr>
              <w:t>13</w:t>
            </w:r>
            <w:r>
              <w:rPr>
                <w:noProof/>
                <w:webHidden/>
              </w:rPr>
              <w:fldChar w:fldCharType="end"/>
            </w:r>
          </w:hyperlink>
        </w:p>
        <w:p w14:paraId="2C939B15" w14:textId="3B1C36B5" w:rsidR="001519C7" w:rsidRDefault="001519C7">
          <w:pPr>
            <w:pStyle w:val="TOC3"/>
            <w:tabs>
              <w:tab w:val="right" w:leader="dot" w:pos="9062"/>
            </w:tabs>
            <w:rPr>
              <w:rFonts w:cstheme="minorBidi"/>
              <w:noProof/>
              <w:kern w:val="2"/>
              <w:sz w:val="24"/>
              <w:szCs w:val="24"/>
              <w14:ligatures w14:val="standardContextual"/>
            </w:rPr>
          </w:pPr>
          <w:hyperlink w:anchor="_Toc208240150" w:history="1">
            <w:r w:rsidRPr="00F01A60">
              <w:rPr>
                <w:rStyle w:val="Hyperlink"/>
                <w:noProof/>
              </w:rPr>
              <w:t>Data Origins</w:t>
            </w:r>
            <w:r>
              <w:rPr>
                <w:noProof/>
                <w:webHidden/>
              </w:rPr>
              <w:tab/>
            </w:r>
            <w:r>
              <w:rPr>
                <w:noProof/>
                <w:webHidden/>
              </w:rPr>
              <w:fldChar w:fldCharType="begin"/>
            </w:r>
            <w:r>
              <w:rPr>
                <w:noProof/>
                <w:webHidden/>
              </w:rPr>
              <w:instrText xml:space="preserve"> PAGEREF _Toc208240150 \h </w:instrText>
            </w:r>
            <w:r>
              <w:rPr>
                <w:noProof/>
                <w:webHidden/>
              </w:rPr>
            </w:r>
            <w:r>
              <w:rPr>
                <w:noProof/>
                <w:webHidden/>
              </w:rPr>
              <w:fldChar w:fldCharType="separate"/>
            </w:r>
            <w:r>
              <w:rPr>
                <w:noProof/>
                <w:webHidden/>
              </w:rPr>
              <w:t>13</w:t>
            </w:r>
            <w:r>
              <w:rPr>
                <w:noProof/>
                <w:webHidden/>
              </w:rPr>
              <w:fldChar w:fldCharType="end"/>
            </w:r>
          </w:hyperlink>
        </w:p>
        <w:p w14:paraId="35B14D6B" w14:textId="6E2AB952" w:rsidR="001519C7" w:rsidRDefault="001519C7">
          <w:pPr>
            <w:pStyle w:val="TOC3"/>
            <w:tabs>
              <w:tab w:val="right" w:leader="dot" w:pos="9062"/>
            </w:tabs>
            <w:rPr>
              <w:rFonts w:cstheme="minorBidi"/>
              <w:noProof/>
              <w:kern w:val="2"/>
              <w:sz w:val="24"/>
              <w:szCs w:val="24"/>
              <w14:ligatures w14:val="standardContextual"/>
            </w:rPr>
          </w:pPr>
          <w:hyperlink w:anchor="_Toc208240151" w:history="1">
            <w:r w:rsidRPr="00F01A60">
              <w:rPr>
                <w:rStyle w:val="Hyperlink"/>
                <w:noProof/>
              </w:rPr>
              <w:t>Periods &amp; Dependent Variables Justification</w:t>
            </w:r>
            <w:r>
              <w:rPr>
                <w:noProof/>
                <w:webHidden/>
              </w:rPr>
              <w:tab/>
            </w:r>
            <w:r>
              <w:rPr>
                <w:noProof/>
                <w:webHidden/>
              </w:rPr>
              <w:fldChar w:fldCharType="begin"/>
            </w:r>
            <w:r>
              <w:rPr>
                <w:noProof/>
                <w:webHidden/>
              </w:rPr>
              <w:instrText xml:space="preserve"> PAGEREF _Toc208240151 \h </w:instrText>
            </w:r>
            <w:r>
              <w:rPr>
                <w:noProof/>
                <w:webHidden/>
              </w:rPr>
            </w:r>
            <w:r>
              <w:rPr>
                <w:noProof/>
                <w:webHidden/>
              </w:rPr>
              <w:fldChar w:fldCharType="separate"/>
            </w:r>
            <w:r>
              <w:rPr>
                <w:noProof/>
                <w:webHidden/>
              </w:rPr>
              <w:t>14</w:t>
            </w:r>
            <w:r>
              <w:rPr>
                <w:noProof/>
                <w:webHidden/>
              </w:rPr>
              <w:fldChar w:fldCharType="end"/>
            </w:r>
          </w:hyperlink>
        </w:p>
        <w:p w14:paraId="6DF3E513" w14:textId="4278C921" w:rsidR="001519C7" w:rsidRDefault="001519C7">
          <w:pPr>
            <w:pStyle w:val="TOC3"/>
            <w:tabs>
              <w:tab w:val="right" w:leader="dot" w:pos="9062"/>
            </w:tabs>
            <w:rPr>
              <w:rFonts w:cstheme="minorBidi"/>
              <w:noProof/>
              <w:kern w:val="2"/>
              <w:sz w:val="24"/>
              <w:szCs w:val="24"/>
              <w14:ligatures w14:val="standardContextual"/>
            </w:rPr>
          </w:pPr>
          <w:hyperlink w:anchor="_Toc208240152" w:history="1">
            <w:r w:rsidRPr="00F01A60">
              <w:rPr>
                <w:rStyle w:val="Hyperlink"/>
                <w:noProof/>
              </w:rPr>
              <w:t>Dependent Variables Description</w:t>
            </w:r>
            <w:r>
              <w:rPr>
                <w:noProof/>
                <w:webHidden/>
              </w:rPr>
              <w:tab/>
            </w:r>
            <w:r>
              <w:rPr>
                <w:noProof/>
                <w:webHidden/>
              </w:rPr>
              <w:fldChar w:fldCharType="begin"/>
            </w:r>
            <w:r>
              <w:rPr>
                <w:noProof/>
                <w:webHidden/>
              </w:rPr>
              <w:instrText xml:space="preserve"> PAGEREF _Toc208240152 \h </w:instrText>
            </w:r>
            <w:r>
              <w:rPr>
                <w:noProof/>
                <w:webHidden/>
              </w:rPr>
            </w:r>
            <w:r>
              <w:rPr>
                <w:noProof/>
                <w:webHidden/>
              </w:rPr>
              <w:fldChar w:fldCharType="separate"/>
            </w:r>
            <w:r>
              <w:rPr>
                <w:noProof/>
                <w:webHidden/>
              </w:rPr>
              <w:t>16</w:t>
            </w:r>
            <w:r>
              <w:rPr>
                <w:noProof/>
                <w:webHidden/>
              </w:rPr>
              <w:fldChar w:fldCharType="end"/>
            </w:r>
          </w:hyperlink>
        </w:p>
        <w:p w14:paraId="40A7F6A0" w14:textId="671D3C6A" w:rsidR="001519C7" w:rsidRDefault="001519C7">
          <w:pPr>
            <w:pStyle w:val="TOC3"/>
            <w:tabs>
              <w:tab w:val="right" w:leader="dot" w:pos="9062"/>
            </w:tabs>
            <w:rPr>
              <w:rFonts w:cstheme="minorBidi"/>
              <w:noProof/>
              <w:kern w:val="2"/>
              <w:sz w:val="24"/>
              <w:szCs w:val="24"/>
              <w14:ligatures w14:val="standardContextual"/>
            </w:rPr>
          </w:pPr>
          <w:hyperlink w:anchor="_Toc208240153" w:history="1">
            <w:r w:rsidRPr="00F01A60">
              <w:rPr>
                <w:rStyle w:val="Hyperlink"/>
                <w:noProof/>
              </w:rPr>
              <w:t>Independent Variables Description &amp; Justification</w:t>
            </w:r>
            <w:r>
              <w:rPr>
                <w:noProof/>
                <w:webHidden/>
              </w:rPr>
              <w:tab/>
            </w:r>
            <w:r>
              <w:rPr>
                <w:noProof/>
                <w:webHidden/>
              </w:rPr>
              <w:fldChar w:fldCharType="begin"/>
            </w:r>
            <w:r>
              <w:rPr>
                <w:noProof/>
                <w:webHidden/>
              </w:rPr>
              <w:instrText xml:space="preserve"> PAGEREF _Toc208240153 \h </w:instrText>
            </w:r>
            <w:r>
              <w:rPr>
                <w:noProof/>
                <w:webHidden/>
              </w:rPr>
            </w:r>
            <w:r>
              <w:rPr>
                <w:noProof/>
                <w:webHidden/>
              </w:rPr>
              <w:fldChar w:fldCharType="separate"/>
            </w:r>
            <w:r>
              <w:rPr>
                <w:noProof/>
                <w:webHidden/>
              </w:rPr>
              <w:t>17</w:t>
            </w:r>
            <w:r>
              <w:rPr>
                <w:noProof/>
                <w:webHidden/>
              </w:rPr>
              <w:fldChar w:fldCharType="end"/>
            </w:r>
          </w:hyperlink>
        </w:p>
        <w:p w14:paraId="06AD212F" w14:textId="07E64DAE" w:rsidR="001519C7" w:rsidRDefault="001519C7">
          <w:pPr>
            <w:pStyle w:val="TOC2"/>
            <w:tabs>
              <w:tab w:val="right" w:leader="dot" w:pos="9062"/>
            </w:tabs>
            <w:rPr>
              <w:rFonts w:cstheme="minorBidi"/>
              <w:noProof/>
              <w:kern w:val="2"/>
              <w:sz w:val="24"/>
              <w:szCs w:val="24"/>
              <w14:ligatures w14:val="standardContextual"/>
            </w:rPr>
          </w:pPr>
          <w:hyperlink w:anchor="_Toc208240154" w:history="1">
            <w:r w:rsidRPr="00F01A60">
              <w:rPr>
                <w:rStyle w:val="Hyperlink"/>
                <w:noProof/>
              </w:rPr>
              <w:t>Findings</w:t>
            </w:r>
            <w:r>
              <w:rPr>
                <w:noProof/>
                <w:webHidden/>
              </w:rPr>
              <w:tab/>
            </w:r>
            <w:r>
              <w:rPr>
                <w:noProof/>
                <w:webHidden/>
              </w:rPr>
              <w:fldChar w:fldCharType="begin"/>
            </w:r>
            <w:r>
              <w:rPr>
                <w:noProof/>
                <w:webHidden/>
              </w:rPr>
              <w:instrText xml:space="preserve"> PAGEREF _Toc208240154 \h </w:instrText>
            </w:r>
            <w:r>
              <w:rPr>
                <w:noProof/>
                <w:webHidden/>
              </w:rPr>
            </w:r>
            <w:r>
              <w:rPr>
                <w:noProof/>
                <w:webHidden/>
              </w:rPr>
              <w:fldChar w:fldCharType="separate"/>
            </w:r>
            <w:r>
              <w:rPr>
                <w:noProof/>
                <w:webHidden/>
              </w:rPr>
              <w:t>20</w:t>
            </w:r>
            <w:r>
              <w:rPr>
                <w:noProof/>
                <w:webHidden/>
              </w:rPr>
              <w:fldChar w:fldCharType="end"/>
            </w:r>
          </w:hyperlink>
        </w:p>
        <w:p w14:paraId="3ADEBF5F" w14:textId="679D10FC" w:rsidR="001519C7" w:rsidRDefault="001519C7">
          <w:pPr>
            <w:pStyle w:val="TOC3"/>
            <w:tabs>
              <w:tab w:val="right" w:leader="dot" w:pos="9062"/>
            </w:tabs>
            <w:rPr>
              <w:rFonts w:cstheme="minorBidi"/>
              <w:noProof/>
              <w:kern w:val="2"/>
              <w:sz w:val="24"/>
              <w:szCs w:val="24"/>
              <w14:ligatures w14:val="standardContextual"/>
            </w:rPr>
          </w:pPr>
          <w:hyperlink w:anchor="_Toc208240155" w:history="1">
            <w:r w:rsidRPr="00F01A60">
              <w:rPr>
                <w:rStyle w:val="Hyperlink"/>
                <w:noProof/>
              </w:rPr>
              <w:t>Pre-1979 (Discretionary Policy Era)</w:t>
            </w:r>
            <w:r>
              <w:rPr>
                <w:noProof/>
                <w:webHidden/>
              </w:rPr>
              <w:tab/>
            </w:r>
            <w:r>
              <w:rPr>
                <w:noProof/>
                <w:webHidden/>
              </w:rPr>
              <w:fldChar w:fldCharType="begin"/>
            </w:r>
            <w:r>
              <w:rPr>
                <w:noProof/>
                <w:webHidden/>
              </w:rPr>
              <w:instrText xml:space="preserve"> PAGEREF _Toc208240155 \h </w:instrText>
            </w:r>
            <w:r>
              <w:rPr>
                <w:noProof/>
                <w:webHidden/>
              </w:rPr>
            </w:r>
            <w:r>
              <w:rPr>
                <w:noProof/>
                <w:webHidden/>
              </w:rPr>
              <w:fldChar w:fldCharType="separate"/>
            </w:r>
            <w:r>
              <w:rPr>
                <w:noProof/>
                <w:webHidden/>
              </w:rPr>
              <w:t>21</w:t>
            </w:r>
            <w:r>
              <w:rPr>
                <w:noProof/>
                <w:webHidden/>
              </w:rPr>
              <w:fldChar w:fldCharType="end"/>
            </w:r>
          </w:hyperlink>
        </w:p>
        <w:p w14:paraId="0E607B4D" w14:textId="44913FB7" w:rsidR="001519C7" w:rsidRDefault="001519C7">
          <w:pPr>
            <w:pStyle w:val="TOC3"/>
            <w:tabs>
              <w:tab w:val="right" w:leader="dot" w:pos="9062"/>
            </w:tabs>
            <w:rPr>
              <w:rFonts w:cstheme="minorBidi"/>
              <w:noProof/>
              <w:kern w:val="2"/>
              <w:sz w:val="24"/>
              <w:szCs w:val="24"/>
              <w14:ligatures w14:val="standardContextual"/>
            </w:rPr>
          </w:pPr>
          <w:hyperlink w:anchor="_Toc208240156" w:history="1">
            <w:r w:rsidRPr="00F01A60">
              <w:rPr>
                <w:rStyle w:val="Hyperlink"/>
                <w:noProof/>
              </w:rPr>
              <w:t>1979–2008 (Taylor Rule Era)</w:t>
            </w:r>
            <w:r>
              <w:rPr>
                <w:noProof/>
                <w:webHidden/>
              </w:rPr>
              <w:tab/>
            </w:r>
            <w:r>
              <w:rPr>
                <w:noProof/>
                <w:webHidden/>
              </w:rPr>
              <w:fldChar w:fldCharType="begin"/>
            </w:r>
            <w:r>
              <w:rPr>
                <w:noProof/>
                <w:webHidden/>
              </w:rPr>
              <w:instrText xml:space="preserve"> PAGEREF _Toc208240156 \h </w:instrText>
            </w:r>
            <w:r>
              <w:rPr>
                <w:noProof/>
                <w:webHidden/>
              </w:rPr>
            </w:r>
            <w:r>
              <w:rPr>
                <w:noProof/>
                <w:webHidden/>
              </w:rPr>
              <w:fldChar w:fldCharType="separate"/>
            </w:r>
            <w:r>
              <w:rPr>
                <w:noProof/>
                <w:webHidden/>
              </w:rPr>
              <w:t>21</w:t>
            </w:r>
            <w:r>
              <w:rPr>
                <w:noProof/>
                <w:webHidden/>
              </w:rPr>
              <w:fldChar w:fldCharType="end"/>
            </w:r>
          </w:hyperlink>
        </w:p>
        <w:p w14:paraId="26670002" w14:textId="0607FC54" w:rsidR="001519C7" w:rsidRDefault="001519C7">
          <w:pPr>
            <w:pStyle w:val="TOC3"/>
            <w:tabs>
              <w:tab w:val="right" w:leader="dot" w:pos="9062"/>
            </w:tabs>
            <w:rPr>
              <w:rFonts w:cstheme="minorBidi"/>
              <w:noProof/>
              <w:kern w:val="2"/>
              <w:sz w:val="24"/>
              <w:szCs w:val="24"/>
              <w14:ligatures w14:val="standardContextual"/>
            </w:rPr>
          </w:pPr>
          <w:hyperlink w:anchor="_Toc208240157" w:history="1">
            <w:r w:rsidRPr="00F01A60">
              <w:rPr>
                <w:rStyle w:val="Hyperlink"/>
                <w:noProof/>
              </w:rPr>
              <w:t>Post-2008 (Unconventional Policy Era)</w:t>
            </w:r>
            <w:r>
              <w:rPr>
                <w:noProof/>
                <w:webHidden/>
              </w:rPr>
              <w:tab/>
            </w:r>
            <w:r>
              <w:rPr>
                <w:noProof/>
                <w:webHidden/>
              </w:rPr>
              <w:fldChar w:fldCharType="begin"/>
            </w:r>
            <w:r>
              <w:rPr>
                <w:noProof/>
                <w:webHidden/>
              </w:rPr>
              <w:instrText xml:space="preserve"> PAGEREF _Toc208240157 \h </w:instrText>
            </w:r>
            <w:r>
              <w:rPr>
                <w:noProof/>
                <w:webHidden/>
              </w:rPr>
            </w:r>
            <w:r>
              <w:rPr>
                <w:noProof/>
                <w:webHidden/>
              </w:rPr>
              <w:fldChar w:fldCharType="separate"/>
            </w:r>
            <w:r>
              <w:rPr>
                <w:noProof/>
                <w:webHidden/>
              </w:rPr>
              <w:t>21</w:t>
            </w:r>
            <w:r>
              <w:rPr>
                <w:noProof/>
                <w:webHidden/>
              </w:rPr>
              <w:fldChar w:fldCharType="end"/>
            </w:r>
          </w:hyperlink>
        </w:p>
        <w:p w14:paraId="587807B2" w14:textId="56F420B0" w:rsidR="001519C7" w:rsidRDefault="001519C7">
          <w:pPr>
            <w:pStyle w:val="TOC3"/>
            <w:tabs>
              <w:tab w:val="right" w:leader="dot" w:pos="9062"/>
            </w:tabs>
            <w:rPr>
              <w:rFonts w:cstheme="minorBidi"/>
              <w:noProof/>
              <w:kern w:val="2"/>
              <w:sz w:val="24"/>
              <w:szCs w:val="24"/>
              <w14:ligatures w14:val="standardContextual"/>
            </w:rPr>
          </w:pPr>
          <w:hyperlink w:anchor="_Toc208240158" w:history="1">
            <w:r w:rsidRPr="00F01A60">
              <w:rPr>
                <w:rStyle w:val="Hyperlink"/>
                <w:noProof/>
              </w:rPr>
              <w:t>Comparative Interpretation</w:t>
            </w:r>
            <w:r>
              <w:rPr>
                <w:noProof/>
                <w:webHidden/>
              </w:rPr>
              <w:tab/>
            </w:r>
            <w:r>
              <w:rPr>
                <w:noProof/>
                <w:webHidden/>
              </w:rPr>
              <w:fldChar w:fldCharType="begin"/>
            </w:r>
            <w:r>
              <w:rPr>
                <w:noProof/>
                <w:webHidden/>
              </w:rPr>
              <w:instrText xml:space="preserve"> PAGEREF _Toc208240158 \h </w:instrText>
            </w:r>
            <w:r>
              <w:rPr>
                <w:noProof/>
                <w:webHidden/>
              </w:rPr>
            </w:r>
            <w:r>
              <w:rPr>
                <w:noProof/>
                <w:webHidden/>
              </w:rPr>
              <w:fldChar w:fldCharType="separate"/>
            </w:r>
            <w:r>
              <w:rPr>
                <w:noProof/>
                <w:webHidden/>
              </w:rPr>
              <w:t>22</w:t>
            </w:r>
            <w:r>
              <w:rPr>
                <w:noProof/>
                <w:webHidden/>
              </w:rPr>
              <w:fldChar w:fldCharType="end"/>
            </w:r>
          </w:hyperlink>
        </w:p>
        <w:p w14:paraId="0FCC0FA2" w14:textId="302CCAED" w:rsidR="001519C7" w:rsidRDefault="001519C7">
          <w:pPr>
            <w:pStyle w:val="TOC1"/>
            <w:tabs>
              <w:tab w:val="right" w:leader="dot" w:pos="9062"/>
            </w:tabs>
            <w:rPr>
              <w:rFonts w:cstheme="minorBidi"/>
              <w:noProof/>
              <w:kern w:val="2"/>
              <w:sz w:val="24"/>
              <w:szCs w:val="24"/>
              <w14:ligatures w14:val="standardContextual"/>
            </w:rPr>
          </w:pPr>
          <w:hyperlink w:anchor="_Toc208240159" w:history="1">
            <w:r w:rsidRPr="00F01A60">
              <w:rPr>
                <w:rStyle w:val="Hyperlink"/>
                <w:noProof/>
              </w:rPr>
              <w:t>Conclusion</w:t>
            </w:r>
            <w:r>
              <w:rPr>
                <w:noProof/>
                <w:webHidden/>
              </w:rPr>
              <w:tab/>
            </w:r>
            <w:r>
              <w:rPr>
                <w:noProof/>
                <w:webHidden/>
              </w:rPr>
              <w:fldChar w:fldCharType="begin"/>
            </w:r>
            <w:r>
              <w:rPr>
                <w:noProof/>
                <w:webHidden/>
              </w:rPr>
              <w:instrText xml:space="preserve"> PAGEREF _Toc208240159 \h </w:instrText>
            </w:r>
            <w:r>
              <w:rPr>
                <w:noProof/>
                <w:webHidden/>
              </w:rPr>
            </w:r>
            <w:r>
              <w:rPr>
                <w:noProof/>
                <w:webHidden/>
              </w:rPr>
              <w:fldChar w:fldCharType="separate"/>
            </w:r>
            <w:r>
              <w:rPr>
                <w:noProof/>
                <w:webHidden/>
              </w:rPr>
              <w:t>23</w:t>
            </w:r>
            <w:r>
              <w:rPr>
                <w:noProof/>
                <w:webHidden/>
              </w:rPr>
              <w:fldChar w:fldCharType="end"/>
            </w:r>
          </w:hyperlink>
        </w:p>
        <w:p w14:paraId="228076C5" w14:textId="426D3C6A" w:rsidR="001519C7" w:rsidRDefault="001519C7">
          <w:pPr>
            <w:pStyle w:val="TOC1"/>
            <w:tabs>
              <w:tab w:val="right" w:leader="dot" w:pos="9062"/>
            </w:tabs>
            <w:rPr>
              <w:rFonts w:cstheme="minorBidi"/>
              <w:noProof/>
              <w:kern w:val="2"/>
              <w:sz w:val="24"/>
              <w:szCs w:val="24"/>
              <w14:ligatures w14:val="standardContextual"/>
            </w:rPr>
          </w:pPr>
          <w:hyperlink w:anchor="_Toc208240160" w:history="1">
            <w:r w:rsidRPr="00F01A60">
              <w:rPr>
                <w:rStyle w:val="Hyperlink"/>
                <w:noProof/>
              </w:rPr>
              <w:t>Bibliography</w:t>
            </w:r>
            <w:r>
              <w:rPr>
                <w:noProof/>
                <w:webHidden/>
              </w:rPr>
              <w:tab/>
            </w:r>
            <w:r>
              <w:rPr>
                <w:noProof/>
                <w:webHidden/>
              </w:rPr>
              <w:fldChar w:fldCharType="begin"/>
            </w:r>
            <w:r>
              <w:rPr>
                <w:noProof/>
                <w:webHidden/>
              </w:rPr>
              <w:instrText xml:space="preserve"> PAGEREF _Toc208240160 \h </w:instrText>
            </w:r>
            <w:r>
              <w:rPr>
                <w:noProof/>
                <w:webHidden/>
              </w:rPr>
            </w:r>
            <w:r>
              <w:rPr>
                <w:noProof/>
                <w:webHidden/>
              </w:rPr>
              <w:fldChar w:fldCharType="separate"/>
            </w:r>
            <w:r>
              <w:rPr>
                <w:noProof/>
                <w:webHidden/>
              </w:rPr>
              <w:t>25</w:t>
            </w:r>
            <w:r>
              <w:rPr>
                <w:noProof/>
                <w:webHidden/>
              </w:rPr>
              <w:fldChar w:fldCharType="end"/>
            </w:r>
          </w:hyperlink>
        </w:p>
        <w:p w14:paraId="355930E5" w14:textId="48016155" w:rsidR="001519C7" w:rsidRDefault="001519C7">
          <w:pPr>
            <w:pStyle w:val="TOC1"/>
            <w:tabs>
              <w:tab w:val="right" w:leader="dot" w:pos="9062"/>
            </w:tabs>
            <w:rPr>
              <w:rFonts w:cstheme="minorBidi"/>
              <w:noProof/>
              <w:kern w:val="2"/>
              <w:sz w:val="24"/>
              <w:szCs w:val="24"/>
              <w14:ligatures w14:val="standardContextual"/>
            </w:rPr>
          </w:pPr>
          <w:hyperlink w:anchor="_Toc208240161" w:history="1">
            <w:r w:rsidRPr="00F01A60">
              <w:rPr>
                <w:rStyle w:val="Hyperlink"/>
                <w:noProof/>
              </w:rPr>
              <w:t>Appendix A</w:t>
            </w:r>
            <w:r>
              <w:rPr>
                <w:noProof/>
                <w:webHidden/>
              </w:rPr>
              <w:tab/>
            </w:r>
            <w:r>
              <w:rPr>
                <w:noProof/>
                <w:webHidden/>
              </w:rPr>
              <w:fldChar w:fldCharType="begin"/>
            </w:r>
            <w:r>
              <w:rPr>
                <w:noProof/>
                <w:webHidden/>
              </w:rPr>
              <w:instrText xml:space="preserve"> PAGEREF _Toc208240161 \h </w:instrText>
            </w:r>
            <w:r>
              <w:rPr>
                <w:noProof/>
                <w:webHidden/>
              </w:rPr>
            </w:r>
            <w:r>
              <w:rPr>
                <w:noProof/>
                <w:webHidden/>
              </w:rPr>
              <w:fldChar w:fldCharType="separate"/>
            </w:r>
            <w:r>
              <w:rPr>
                <w:noProof/>
                <w:webHidden/>
              </w:rPr>
              <w:t>28</w:t>
            </w:r>
            <w:r>
              <w:rPr>
                <w:noProof/>
                <w:webHidden/>
              </w:rPr>
              <w:fldChar w:fldCharType="end"/>
            </w:r>
          </w:hyperlink>
        </w:p>
        <w:p w14:paraId="3C6B5F44" w14:textId="39B5860D" w:rsidR="00986B76" w:rsidRPr="00371514" w:rsidRDefault="00371514" w:rsidP="00371514">
          <w:pPr>
            <w:rPr>
              <w:b/>
              <w:bCs/>
              <w:lang w:val="fr-FR"/>
            </w:rPr>
          </w:pPr>
          <w:r w:rsidRPr="00371514">
            <w:rPr>
              <w:b/>
              <w:bCs/>
              <w:lang w:val="fr-FR"/>
            </w:rPr>
            <w:fldChar w:fldCharType="end"/>
          </w:r>
        </w:p>
      </w:sdtContent>
    </w:sdt>
    <w:p w14:paraId="19B7D239" w14:textId="77777777" w:rsidR="00986B76" w:rsidRPr="00371514" w:rsidRDefault="00986B76">
      <w:pPr>
        <w:rPr>
          <w:rFonts w:eastAsiaTheme="majorEastAsia"/>
          <w:spacing w:val="-10"/>
          <w:kern w:val="28"/>
          <w:sz w:val="56"/>
          <w:szCs w:val="56"/>
        </w:rPr>
      </w:pPr>
      <w:r w:rsidRPr="00371514">
        <w:br w:type="page"/>
      </w:r>
    </w:p>
    <w:p w14:paraId="6C14F082" w14:textId="1F0DAC26" w:rsidR="005E4A1B" w:rsidRPr="00114AC5" w:rsidRDefault="00986B76" w:rsidP="005E4A1B">
      <w:pPr>
        <w:pStyle w:val="Heading1"/>
        <w:rPr>
          <w:lang w:val="en-US"/>
        </w:rPr>
      </w:pPr>
      <w:bookmarkStart w:id="0" w:name="_Toc208240145"/>
      <w:r w:rsidRPr="00114AC5">
        <w:rPr>
          <w:lang w:val="en-US"/>
        </w:rPr>
        <w:lastRenderedPageBreak/>
        <w:t>Abstract</w:t>
      </w:r>
      <w:bookmarkEnd w:id="0"/>
    </w:p>
    <w:p w14:paraId="5404997F" w14:textId="098C2943" w:rsidR="00BA3503" w:rsidRPr="00371514" w:rsidRDefault="00BA3503" w:rsidP="00BA3503">
      <w:r w:rsidRPr="00371514">
        <w:t xml:space="preserve">This paper begins by reviewing the literature on the political monetary cycle, on instances of political influences over the </w:t>
      </w:r>
      <w:r w:rsidR="002B541C">
        <w:t>F</w:t>
      </w:r>
      <w:r w:rsidRPr="00371514">
        <w:t xml:space="preserve">ederal </w:t>
      </w:r>
      <w:r w:rsidR="002B541C">
        <w:t>R</w:t>
      </w:r>
      <w:r w:rsidRPr="00371514">
        <w:t xml:space="preserve">eserve’s monetary policy, and of the literature investigating the political influence over the Fed in general, especially in the United States. This paper then </w:t>
      </w:r>
      <w:r w:rsidR="00AE188D" w:rsidRPr="00371514">
        <w:t>does multiple linear regressions over the three different periods of the last three operating regimes of the Fed (1952-1979, 1979-2008, 2008-now), as well as over different dependent variables</w:t>
      </w:r>
      <w:r w:rsidR="002911C0" w:rsidRPr="00371514">
        <w:t xml:space="preserve"> representing different macroeconomic tools of the Fed.</w:t>
      </w:r>
      <w:r w:rsidR="00CD5B7A" w:rsidRPr="00371514">
        <w:t xml:space="preserve"> This paper finds that the factors influencing the monetary policy greatly change in nature and statistical significance across different operating regimes. This suggests that the political influence over the monetary policy of the Fed is not </w:t>
      </w:r>
      <w:r w:rsidR="002B7564" w:rsidRPr="00371514">
        <w:t>some kind of cycle, but a bargaining process embedded into the institutional structure.</w:t>
      </w:r>
      <w:r w:rsidR="00CD5B7A" w:rsidRPr="00371514">
        <w:t xml:space="preserve"> </w:t>
      </w:r>
    </w:p>
    <w:p w14:paraId="39A5A40F" w14:textId="77777777" w:rsidR="005E4A1B" w:rsidRPr="00371514" w:rsidRDefault="00986B76">
      <w:pPr>
        <w:rPr>
          <w:rFonts w:eastAsiaTheme="majorEastAsia"/>
          <w:sz w:val="40"/>
          <w:szCs w:val="40"/>
        </w:rPr>
      </w:pPr>
      <w:r w:rsidRPr="00371514">
        <w:br w:type="page"/>
      </w:r>
    </w:p>
    <w:p w14:paraId="65ED8BC9" w14:textId="33F48FAC" w:rsidR="002C3F9D" w:rsidRPr="00371514" w:rsidRDefault="00CF2290" w:rsidP="002C3F9D">
      <w:pPr>
        <w:pStyle w:val="Heading1"/>
        <w:rPr>
          <w:lang w:val="en-US"/>
        </w:rPr>
      </w:pPr>
      <w:bookmarkStart w:id="1" w:name="_Toc208240146"/>
      <w:r w:rsidRPr="00371514">
        <w:rPr>
          <w:lang w:val="en-US"/>
        </w:rPr>
        <w:lastRenderedPageBreak/>
        <w:t>Introduction</w:t>
      </w:r>
      <w:bookmarkEnd w:id="1"/>
    </w:p>
    <w:p w14:paraId="7B150166" w14:textId="77C0D874" w:rsidR="00B40B78" w:rsidRPr="00371514" w:rsidRDefault="00974E03" w:rsidP="002C3F9D">
      <w:r w:rsidRPr="00371514">
        <w:t xml:space="preserve">Central Banks have a central position in </w:t>
      </w:r>
      <w:r w:rsidR="00802C6F" w:rsidRPr="00371514">
        <w:t>the economy as they usually are the ones to set the monetary policy. The independence of central banks from politics is often regarded as ideal as it can allow them to fully focus on technical macroeconomic decisions. Although in democracies, central bank independence is often guaranteed by law, some have raised doubt on whether or not these legal systems are actually successful in isolating monetary policy from politics</w:t>
      </w:r>
      <w:r w:rsidR="00B40B78" w:rsidRPr="00371514">
        <w:t>, and the academic literature has come up with ways to describe and understand discrepancies where they may happen</w:t>
      </w:r>
      <w:r w:rsidR="00802C6F" w:rsidRPr="00371514">
        <w:t>.</w:t>
      </w:r>
    </w:p>
    <w:p w14:paraId="3F568638" w14:textId="11D387FF" w:rsidR="002C3F9D" w:rsidRPr="00371514" w:rsidRDefault="008C738D" w:rsidP="002C3F9D">
      <w:r w:rsidRPr="00371514">
        <w:t xml:space="preserve">Political Monetary Cycles (PMC for short) refers to a systemic manipulation of monetary policy for political gains, and is </w:t>
      </w:r>
      <w:r w:rsidR="00C74AC0" w:rsidRPr="00371514">
        <w:t>typically</w:t>
      </w:r>
      <w:r w:rsidRPr="00371514">
        <w:t xml:space="preserve"> characterized by a </w:t>
      </w:r>
      <w:r w:rsidR="00C74AC0" w:rsidRPr="00371514">
        <w:t>looser</w:t>
      </w:r>
      <w:r w:rsidRPr="00371514">
        <w:t xml:space="preserve"> monetary policy before elections and a tighter one after elections. </w:t>
      </w:r>
      <w:r w:rsidR="002C3F9D" w:rsidRPr="00371514">
        <w:t>The concept of Political Monetary Cycles can be regarded as a monetary offshoot of the concept of Political Business Cycles, which is built upon the foundations laid by Michał Kalecki in his 1943 paper “POLITICAL ASPECTS OF UNEMPLOYMENT”</w:t>
      </w:r>
      <w:r w:rsidR="00575A0D" w:rsidRPr="00371514">
        <w:t xml:space="preserve">. </w:t>
      </w:r>
      <w:r w:rsidR="00C74AC0" w:rsidRPr="00371514">
        <w:t>In t</w:t>
      </w:r>
      <w:r w:rsidR="00575A0D" w:rsidRPr="00371514">
        <w:t>his paper, Kalecki argues that monetary policy, is fundamentally political, and depicts banks as political actors rather than purely technical ones</w:t>
      </w:r>
      <w:r w:rsidR="00B142DE" w:rsidRPr="00371514">
        <w:t>. He sees monetary policy through the lenses of class struggles, emphasizing that monetary policy is cynically structured to benefit capitalists</w:t>
      </w:r>
      <w:r w:rsidR="00575A0D" w:rsidRPr="00371514">
        <w:t xml:space="preserve"> </w:t>
      </w:r>
      <w:r w:rsidR="002C3F9D" w:rsidRPr="00371514">
        <w:t>(Kalecki 1943). More than 30 years later, Nordhaus in his 1975 paper “The Political Business Cycle” w</w:t>
      </w:r>
      <w:r w:rsidR="00575A0D" w:rsidRPr="00371514">
        <w:t>ould</w:t>
      </w:r>
      <w:r w:rsidR="002C3F9D" w:rsidRPr="00371514">
        <w:t xml:space="preserve"> be the first to establish a model to measure political manipulation of fiscal and monetary policy</w:t>
      </w:r>
      <w:r w:rsidR="00CC5610" w:rsidRPr="00371514">
        <w:t>. The classical idea that the monetary policy gets easier before elections and tighter after comes from him</w:t>
      </w:r>
      <w:r w:rsidR="002C3F9D" w:rsidRPr="00371514">
        <w:t xml:space="preserve"> (Nordhaus 1975).</w:t>
      </w:r>
      <w:r w:rsidR="00174A66" w:rsidRPr="00371514">
        <w:t xml:space="preserve"> As such, from Nordhaus</w:t>
      </w:r>
      <w:r w:rsidR="002C4093" w:rsidRPr="00371514">
        <w:t xml:space="preserve"> 1975</w:t>
      </w:r>
      <w:r w:rsidR="00174A66" w:rsidRPr="00371514">
        <w:t xml:space="preserve"> began to flourish a whole ecosystem of research investigating whether or not central banks really are independent, and if not, what patterns does monetary policy manipulation follow</w:t>
      </w:r>
      <w:r w:rsidR="00974E03" w:rsidRPr="00371514">
        <w:t>.</w:t>
      </w:r>
    </w:p>
    <w:p w14:paraId="7706A2D6" w14:textId="165C9590" w:rsidR="00371514" w:rsidRPr="00371514" w:rsidRDefault="00453593" w:rsidP="00856FFA">
      <w:r w:rsidRPr="00371514">
        <w:t>This paper</w:t>
      </w:r>
      <w:r w:rsidR="00763C88" w:rsidRPr="00371514">
        <w:t xml:space="preserve"> investigate the independence of the </w:t>
      </w:r>
      <w:r w:rsidR="00AF47F3">
        <w:t>F</w:t>
      </w:r>
      <w:r w:rsidR="00763C88" w:rsidRPr="00371514">
        <w:t xml:space="preserve">ederal </w:t>
      </w:r>
      <w:r w:rsidR="00AF47F3">
        <w:t>R</w:t>
      </w:r>
      <w:r w:rsidR="00763C88" w:rsidRPr="00371514">
        <w:t>eserve, the central bank of the United States</w:t>
      </w:r>
      <w:r w:rsidR="008C738D" w:rsidRPr="00371514">
        <w:t xml:space="preserve">, </w:t>
      </w:r>
      <w:r w:rsidR="00763C88" w:rsidRPr="00371514">
        <w:t xml:space="preserve">in particular by </w:t>
      </w:r>
      <w:r w:rsidRPr="00371514">
        <w:t>investig</w:t>
      </w:r>
      <w:r w:rsidR="00763C88" w:rsidRPr="00371514">
        <w:t>ating</w:t>
      </w:r>
      <w:r w:rsidRPr="00371514">
        <w:t xml:space="preserve"> </w:t>
      </w:r>
      <w:r w:rsidR="008C738D" w:rsidRPr="00371514">
        <w:t xml:space="preserve">the literature </w:t>
      </w:r>
      <w:r w:rsidRPr="00371514">
        <w:t>to find the state of research on the political i</w:t>
      </w:r>
      <w:r w:rsidR="008C738D" w:rsidRPr="00371514">
        <w:t>nfluence</w:t>
      </w:r>
      <w:r w:rsidRPr="00371514">
        <w:t>s imposed on</w:t>
      </w:r>
      <w:r w:rsidR="008C738D" w:rsidRPr="00371514">
        <w:t xml:space="preserve"> the </w:t>
      </w:r>
      <w:r w:rsidR="00AF47F3">
        <w:t>F</w:t>
      </w:r>
      <w:r w:rsidR="008C738D" w:rsidRPr="00371514">
        <w:t>ederal</w:t>
      </w:r>
      <w:r w:rsidRPr="00371514">
        <w:t xml:space="preserve"> </w:t>
      </w:r>
      <w:r w:rsidR="00AF47F3">
        <w:t>R</w:t>
      </w:r>
      <w:r w:rsidRPr="00371514">
        <w:t>eserve’s monetary policy</w:t>
      </w:r>
      <w:r w:rsidR="00A101A8" w:rsidRPr="00371514">
        <w:t>, and then</w:t>
      </w:r>
      <w:r w:rsidR="00763C88" w:rsidRPr="00371514">
        <w:t xml:space="preserve"> by</w:t>
      </w:r>
      <w:r w:rsidR="00A101A8" w:rsidRPr="00371514">
        <w:t xml:space="preserve"> analy</w:t>
      </w:r>
      <w:r w:rsidR="00763C88" w:rsidRPr="00371514">
        <w:t>zing</w:t>
      </w:r>
      <w:r w:rsidR="00A101A8" w:rsidRPr="00371514">
        <w:t xml:space="preserve"> </w:t>
      </w:r>
      <w:r w:rsidR="00763C88" w:rsidRPr="00371514">
        <w:t xml:space="preserve">it by </w:t>
      </w:r>
      <w:r w:rsidR="00A101A8" w:rsidRPr="00371514">
        <w:t>distinguishing the three different operating regimes to have a more comprehensive understanding</w:t>
      </w:r>
      <w:r w:rsidR="009F28FA" w:rsidRPr="00371514">
        <w:t xml:space="preserve"> and investigate the presence of PMCs and proofs of institutional capture of the Fed</w:t>
      </w:r>
      <w:r w:rsidR="008C738D" w:rsidRPr="00371514">
        <w:t>.</w:t>
      </w:r>
    </w:p>
    <w:p w14:paraId="105C6346" w14:textId="77777777" w:rsidR="00371514" w:rsidRPr="00371514" w:rsidRDefault="00371514">
      <w:r w:rsidRPr="00371514">
        <w:br w:type="page"/>
      </w:r>
    </w:p>
    <w:p w14:paraId="6E77654F" w14:textId="33B8C591" w:rsidR="000817C9" w:rsidRPr="00371514" w:rsidRDefault="000817C9" w:rsidP="00856FFA">
      <w:pPr>
        <w:pStyle w:val="Heading1"/>
        <w:rPr>
          <w:lang w:val="en-US"/>
        </w:rPr>
      </w:pPr>
      <w:bookmarkStart w:id="2" w:name="_Toc208240147"/>
      <w:r w:rsidRPr="00371514">
        <w:rPr>
          <w:lang w:val="en-US"/>
        </w:rPr>
        <w:lastRenderedPageBreak/>
        <w:t>Literature Review</w:t>
      </w:r>
      <w:bookmarkEnd w:id="2"/>
    </w:p>
    <w:p w14:paraId="15FBAF5B" w14:textId="0597A161" w:rsidR="000817C9" w:rsidRPr="00371514" w:rsidRDefault="000817C9" w:rsidP="00856FFA">
      <w:r w:rsidRPr="00371514">
        <w:t xml:space="preserve">The literature on the presence of Political Monetary Cycles (PMCs) in the United States has a great variety of research methodology, and a great variety of findings. A part of the </w:t>
      </w:r>
      <w:r w:rsidR="00183B9E" w:rsidRPr="00371514">
        <w:t xml:space="preserve">work made by the </w:t>
      </w:r>
      <w:r w:rsidRPr="00371514">
        <w:t>literature is rather qualitative while another is rather quantitative, and in each category we can still observe a large variety of different findings.</w:t>
      </w:r>
      <w:r w:rsidR="00747238" w:rsidRPr="00371514">
        <w:t xml:space="preserve"> It is very common for papers in the relevant literature to first lay down a qualitative ground work to develop a thesis which will be tested quantitatively. Most papers include quantitative analysis.</w:t>
      </w:r>
    </w:p>
    <w:p w14:paraId="507C762E" w14:textId="77777777" w:rsidR="00DF4684" w:rsidRPr="00371514" w:rsidRDefault="00747238" w:rsidP="00856FFA">
      <w:r w:rsidRPr="00371514">
        <w:t>In the literature, one</w:t>
      </w:r>
      <w:r w:rsidR="000817C9" w:rsidRPr="00371514">
        <w:t xml:space="preserve"> can identify two different </w:t>
      </w:r>
      <w:r w:rsidRPr="00371514">
        <w:t xml:space="preserve">ways of qualitatively analyzing the behavior of the fed, either through theoretical analysis, or through historical analysis. </w:t>
      </w:r>
    </w:p>
    <w:p w14:paraId="7038FC5F" w14:textId="05252B86" w:rsidR="00CB280F" w:rsidRPr="00371514" w:rsidRDefault="001B606D" w:rsidP="00856FFA">
      <w:r w:rsidRPr="00371514">
        <w:t>A prominent theory in the literature is</w:t>
      </w:r>
      <w:r w:rsidR="00353083" w:rsidRPr="00371514">
        <w:t xml:space="preserve"> </w:t>
      </w:r>
      <w:r w:rsidR="00747238" w:rsidRPr="00371514">
        <w:t xml:space="preserve">the </w:t>
      </w:r>
      <w:r w:rsidR="00DF4684" w:rsidRPr="00371514">
        <w:t xml:space="preserve">concept of </w:t>
      </w:r>
      <w:r w:rsidR="00747238" w:rsidRPr="00371514">
        <w:t>Central Bank Independence (CBI for short)</w:t>
      </w:r>
      <w:r w:rsidR="00DF4684" w:rsidRPr="00371514">
        <w:t xml:space="preserve">, particularly </w:t>
      </w:r>
      <w:r w:rsidRPr="00371514">
        <w:t xml:space="preserve">the way it </w:t>
      </w:r>
      <w:r w:rsidR="006A46C7" w:rsidRPr="00371514">
        <w:t>was</w:t>
      </w:r>
      <w:r w:rsidR="00747238" w:rsidRPr="00371514">
        <w:t xml:space="preserve"> described by</w:t>
      </w:r>
      <w:r w:rsidR="003B60FE" w:rsidRPr="00371514">
        <w:t xml:space="preserve"> Cukierman et al.</w:t>
      </w:r>
      <w:r w:rsidR="006A46C7" w:rsidRPr="00371514">
        <w:t xml:space="preserve"> in 1992</w:t>
      </w:r>
      <w:r w:rsidRPr="00371514">
        <w:t xml:space="preserve"> </w:t>
      </w:r>
      <w:r w:rsidR="006A46C7" w:rsidRPr="00371514">
        <w:t>as</w:t>
      </w:r>
      <w:r w:rsidRPr="00371514">
        <w:t xml:space="preserve"> the “CBI index”, </w:t>
      </w:r>
      <w:r w:rsidR="006A46C7" w:rsidRPr="00371514">
        <w:t>which is an operationalization of the aforementioned concept</w:t>
      </w:r>
      <w:r w:rsidR="00B51266" w:rsidRPr="00371514">
        <w:t xml:space="preserve"> aiming</w:t>
      </w:r>
      <w:r w:rsidR="003B60FE" w:rsidRPr="00371514">
        <w:t xml:space="preserve"> </w:t>
      </w:r>
      <w:r w:rsidR="00DF4684" w:rsidRPr="00371514">
        <w:t>to measure</w:t>
      </w:r>
      <w:r w:rsidR="00B51266" w:rsidRPr="00371514">
        <w:t xml:space="preserve"> Central Bank Independance</w:t>
      </w:r>
      <w:r w:rsidR="00E76DF2" w:rsidRPr="00371514">
        <w:t xml:space="preserve">. </w:t>
      </w:r>
      <w:r w:rsidR="00DF4684" w:rsidRPr="00371514">
        <w:t>This index</w:t>
      </w:r>
      <w:r w:rsidRPr="00371514">
        <w:t xml:space="preserve"> is mainly concerned with the freedom of the central banks to address inflation instead of other goals which may be politically more relevant to the local authorities. </w:t>
      </w:r>
      <w:r w:rsidR="00E76DF2" w:rsidRPr="00371514">
        <w:t>Using this index, they find that</w:t>
      </w:r>
      <w:r w:rsidR="00DF4684" w:rsidRPr="00371514">
        <w:t xml:space="preserve"> a good CBI index in developing countries is associated with </w:t>
      </w:r>
      <w:r w:rsidRPr="00371514">
        <w:t>a better control of inflation</w:t>
      </w:r>
      <w:r w:rsidR="00DF4684" w:rsidRPr="00371514">
        <w:t xml:space="preserve">, </w:t>
      </w:r>
      <w:r w:rsidR="00E76DF2" w:rsidRPr="00371514">
        <w:t xml:space="preserve">but </w:t>
      </w:r>
      <w:r w:rsidRPr="00371514">
        <w:t>not</w:t>
      </w:r>
      <w:r w:rsidR="00907053" w:rsidRPr="00371514">
        <w:t xml:space="preserve"> in developed </w:t>
      </w:r>
      <w:r w:rsidR="00E76DF2" w:rsidRPr="00371514">
        <w:t>countries</w:t>
      </w:r>
      <w:r w:rsidR="00907053" w:rsidRPr="00371514">
        <w:t xml:space="preserve"> </w:t>
      </w:r>
      <w:r w:rsidR="00E76DF2" w:rsidRPr="00371514">
        <w:t>(</w:t>
      </w:r>
      <w:r w:rsidR="00907053" w:rsidRPr="00371514">
        <w:t>Cukierman, Web, and Neyapti 1992).</w:t>
      </w:r>
      <w:r w:rsidR="00E76DF2" w:rsidRPr="00371514">
        <w:t xml:space="preserve"> The CBI index was</w:t>
      </w:r>
      <w:r w:rsidR="00DF4601" w:rsidRPr="00371514">
        <w:t xml:space="preserve"> also</w:t>
      </w:r>
      <w:r w:rsidR="00E76DF2" w:rsidRPr="00371514">
        <w:t xml:space="preserve"> used by Alpanda and Honing in an effort to investigate whether or not it is linked with the existence of PMCs. They find evidence of PMCs in developing countries with low CBI, but cannot find similar evidence in countries with “advanced economies” (Alpanda and Honig 2009). Overall it seems that the use of this index seldom brings significant </w:t>
      </w:r>
      <w:r w:rsidR="00D3531F" w:rsidRPr="00371514">
        <w:t>insights</w:t>
      </w:r>
      <w:r w:rsidR="00E76DF2" w:rsidRPr="00371514">
        <w:t xml:space="preserve"> regarding to the way central banks act in countries with developed economies.</w:t>
      </w:r>
      <w:r w:rsidR="00D3531F" w:rsidRPr="00371514">
        <w:t xml:space="preserve"> </w:t>
      </w:r>
      <w:r w:rsidR="00370BE3" w:rsidRPr="00371514">
        <w:t>It might be so because the</w:t>
      </w:r>
      <w:r w:rsidR="00D3531F" w:rsidRPr="00371514">
        <w:t xml:space="preserve"> Fed operates within a political context which it cannot simply ignores because it has to constantly interact with political constitutions</w:t>
      </w:r>
      <w:r w:rsidR="00370BE3" w:rsidRPr="00371514">
        <w:t xml:space="preserve"> </w:t>
      </w:r>
      <w:r w:rsidR="0051754B" w:rsidRPr="00371514">
        <w:t>(Woolley 1985)</w:t>
      </w:r>
      <w:r w:rsidR="00D3531F" w:rsidRPr="00371514">
        <w:t>.</w:t>
      </w:r>
      <w:r w:rsidR="00370BE3" w:rsidRPr="00371514">
        <w:t xml:space="preserve"> Thus</w:t>
      </w:r>
      <w:r w:rsidR="0051754B" w:rsidRPr="00371514">
        <w:t>, a</w:t>
      </w:r>
      <w:r w:rsidR="00E76DF2" w:rsidRPr="00371514">
        <w:t xml:space="preserve"> significant criticism to be made to this index is that it</w:t>
      </w:r>
      <w:r w:rsidR="003B60FE" w:rsidRPr="00371514">
        <w:t xml:space="preserve"> only focuses on </w:t>
      </w:r>
      <w:r w:rsidR="003B60FE" w:rsidRPr="00371514">
        <w:rPr>
          <w:i/>
          <w:iCs/>
        </w:rPr>
        <w:t>de jure</w:t>
      </w:r>
      <w:r w:rsidR="003B60FE" w:rsidRPr="00371514">
        <w:t xml:space="preserve"> independence and ignores the</w:t>
      </w:r>
      <w:r w:rsidR="00907053" w:rsidRPr="00371514">
        <w:t xml:space="preserve"> </w:t>
      </w:r>
      <w:r w:rsidR="00907053" w:rsidRPr="00371514">
        <w:rPr>
          <w:i/>
          <w:iCs/>
        </w:rPr>
        <w:t>de facto</w:t>
      </w:r>
      <w:r w:rsidR="003B60FE" w:rsidRPr="00371514">
        <w:t xml:space="preserve"> informal mechanisms at play between the incumbent administration and the Fed</w:t>
      </w:r>
      <w:r w:rsidR="00907053" w:rsidRPr="00371514">
        <w:t xml:space="preserve"> </w:t>
      </w:r>
      <w:r w:rsidR="00E27A99" w:rsidRPr="00E27A99">
        <w:t>(Walsh 1993; Cargill and O’Driscoll 2013)</w:t>
      </w:r>
      <w:r w:rsidR="00D3531F" w:rsidRPr="00371514">
        <w:t xml:space="preserve">. </w:t>
      </w:r>
    </w:p>
    <w:p w14:paraId="55DF6A59" w14:textId="7ABA02C7" w:rsidR="00C10AA6" w:rsidRPr="00371514" w:rsidRDefault="00CB280F" w:rsidP="00856FFA">
      <w:r w:rsidRPr="00371514">
        <w:t>I</w:t>
      </w:r>
      <w:r w:rsidR="00E76DF2" w:rsidRPr="00371514">
        <w:t>n order to identify the</w:t>
      </w:r>
      <w:r w:rsidR="00870887" w:rsidRPr="00371514">
        <w:t xml:space="preserve"> </w:t>
      </w:r>
      <w:r w:rsidR="00870887" w:rsidRPr="00371514">
        <w:rPr>
          <w:i/>
          <w:iCs/>
        </w:rPr>
        <w:t>de facto</w:t>
      </w:r>
      <w:r w:rsidR="00870887" w:rsidRPr="00371514">
        <w:t xml:space="preserve"> informal practices of the Fed</w:t>
      </w:r>
      <w:r w:rsidR="003B60FE" w:rsidRPr="00371514">
        <w:t xml:space="preserve">, </w:t>
      </w:r>
      <w:r w:rsidR="00870887" w:rsidRPr="00371514">
        <w:t xml:space="preserve">a part of the literature </w:t>
      </w:r>
      <w:r w:rsidR="003B60FE" w:rsidRPr="00371514">
        <w:t xml:space="preserve">resorts to historical analysis as a way to point out clear </w:t>
      </w:r>
      <w:r w:rsidR="00907053" w:rsidRPr="00371514">
        <w:rPr>
          <w:i/>
          <w:iCs/>
        </w:rPr>
        <w:t xml:space="preserve">de facto </w:t>
      </w:r>
      <w:r w:rsidR="00612CF1" w:rsidRPr="00371514">
        <w:t>evidence</w:t>
      </w:r>
      <w:r w:rsidR="003B60FE" w:rsidRPr="00371514">
        <w:t xml:space="preserve"> of </w:t>
      </w:r>
      <w:r w:rsidR="00907053" w:rsidRPr="00371514">
        <w:t>the</w:t>
      </w:r>
      <w:r w:rsidR="00612CF1" w:rsidRPr="00371514">
        <w:t xml:space="preserve"> informal</w:t>
      </w:r>
      <w:r w:rsidR="00907053" w:rsidRPr="00371514">
        <w:t xml:space="preserve"> </w:t>
      </w:r>
      <w:r w:rsidR="003B60FE" w:rsidRPr="00371514">
        <w:t xml:space="preserve">political influence </w:t>
      </w:r>
      <w:r w:rsidR="00907053" w:rsidRPr="00371514">
        <w:t xml:space="preserve">of the incumbent administration </w:t>
      </w:r>
      <w:r w:rsidR="003B60FE" w:rsidRPr="00371514">
        <w:t xml:space="preserve">on the </w:t>
      </w:r>
      <w:r w:rsidR="00612CF1" w:rsidRPr="00371514">
        <w:t>Fed’s</w:t>
      </w:r>
      <w:r w:rsidR="003B60FE" w:rsidRPr="00371514">
        <w:t xml:space="preserve"> monetary policy</w:t>
      </w:r>
      <w:r w:rsidRPr="00371514">
        <w:t>. The elephant in the room when talking about clear informal influence of the executive on the Fed’s monetary policy is that which happened under Nixon, in particular before his reelection</w:t>
      </w:r>
      <w:r w:rsidR="00697A3C" w:rsidRPr="00371514">
        <w:t>, and in particular on Arthur Burns</w:t>
      </w:r>
      <w:r w:rsidR="000E12BB" w:rsidRPr="00371514">
        <w:t xml:space="preserve"> (the chair of the Fed from 1970 onwards)</w:t>
      </w:r>
      <w:r w:rsidRPr="00371514">
        <w:t xml:space="preserve">. </w:t>
      </w:r>
      <w:r w:rsidR="00C50AFA" w:rsidRPr="00371514">
        <w:t>A lot of Nixon’s discussions are now publicly available thanks to the content of the tapes from recordings from 1971 and 1973 which were a part of a secret taping system which Nixon installed in the white house. The content of these tapes has been widely authenticated and transcribed. Because of this we have a significant amount of primary evidence clearly revealing that Nixon 1) was deeply interested in the power of monetary policy on the economy 2) was determined to influence it</w:t>
      </w:r>
      <w:r w:rsidR="004E7409" w:rsidRPr="00371514">
        <w:t>, as evidenced by Appendix A</w:t>
      </w:r>
      <w:r w:rsidR="00502E2E" w:rsidRPr="00371514">
        <w:t xml:space="preserve"> Part 1</w:t>
      </w:r>
      <w:r w:rsidR="00C50AFA" w:rsidRPr="00371514">
        <w:t xml:space="preserve">. </w:t>
      </w:r>
    </w:p>
    <w:p w14:paraId="039A327A" w14:textId="01AD7DE8" w:rsidR="009567E3" w:rsidRPr="00371514" w:rsidRDefault="00E22C77" w:rsidP="00856FFA">
      <w:r w:rsidRPr="00371514">
        <w:t xml:space="preserve">Abrams and Butkiewicz in their 2012 study </w:t>
      </w:r>
      <w:r w:rsidR="004E7409" w:rsidRPr="00371514">
        <w:t>reveal</w:t>
      </w:r>
      <w:r w:rsidRPr="00371514">
        <w:t xml:space="preserve"> that</w:t>
      </w:r>
      <w:r w:rsidR="009567E3" w:rsidRPr="00371514">
        <w:t xml:space="preserve"> even though neither</w:t>
      </w:r>
      <w:r w:rsidRPr="00371514">
        <w:t xml:space="preserve"> Richard Nixon </w:t>
      </w:r>
      <w:r w:rsidR="009567E3" w:rsidRPr="00371514">
        <w:t xml:space="preserve">nor </w:t>
      </w:r>
      <w:r w:rsidRPr="00371514">
        <w:t>John Connally Jr. (US secretary of treasury</w:t>
      </w:r>
      <w:r w:rsidR="009567E3" w:rsidRPr="00371514">
        <w:t xml:space="preserve"> under Nixon from 1971 to 1972</w:t>
      </w:r>
      <w:r w:rsidRPr="00371514">
        <w:t>)</w:t>
      </w:r>
      <w:r w:rsidR="009567E3" w:rsidRPr="00371514">
        <w:t xml:space="preserve"> were </w:t>
      </w:r>
      <w:r w:rsidR="009567E3" w:rsidRPr="00371514">
        <w:lastRenderedPageBreak/>
        <w:t>economists, they both knew the kind of monetary policy that they needed for their political strategy and that they needed Arthur Burns to cooperate.</w:t>
      </w:r>
    </w:p>
    <w:p w14:paraId="570185D8" w14:textId="76A288B1" w:rsidR="00DB7F3C" w:rsidRPr="00371514" w:rsidRDefault="00502E2E" w:rsidP="00856FFA">
      <w:r w:rsidRPr="00371514">
        <w:t>The</w:t>
      </w:r>
      <w:r w:rsidR="00DB7F3C" w:rsidRPr="00371514">
        <w:t xml:space="preserve"> conversation </w:t>
      </w:r>
      <w:r w:rsidRPr="00371514">
        <w:t xml:space="preserve">in Appendix A Part 2 </w:t>
      </w:r>
      <w:r w:rsidR="00DB7F3C" w:rsidRPr="00371514">
        <w:t>clearly reveals a conflictual relationship between the executive of Nixon’s administration and the Federal Reserve. It also suggests that Arthur Burns tried to resist the economic policy of the Nixon administration.</w:t>
      </w:r>
      <w:r w:rsidR="00C74EA1" w:rsidRPr="00371514">
        <w:t xml:space="preserve"> However the literature isn’t in drought of examples of means through which Nixon pressured the Fed.</w:t>
      </w:r>
    </w:p>
    <w:p w14:paraId="48FEA3B1" w14:textId="61E3EC39" w:rsidR="00C10AA6" w:rsidRPr="00371514" w:rsidRDefault="0051460B" w:rsidP="00856FFA">
      <w:r w:rsidRPr="00371514">
        <w:t>He pressured the fed with different means. On</w:t>
      </w:r>
      <w:r w:rsidR="00C50AFA" w:rsidRPr="00371514">
        <w:t>e</w:t>
      </w:r>
      <w:r w:rsidRPr="00371514">
        <w:t xml:space="preserve"> of such means was direct intimidation, like shown in the quote above. Nixon instructed John Ehrlichman to serve as the liaison between the president and the Fed, thereby completely bypassing the formal economy policy structures. As a result, this reduced the public accountability of the executive, making the Fed’s monetary policy even more discretionary on top of now being under direct pressure of the executive. Furthermore, Nixon often met with Burns alone to coerce him without any witnesses </w:t>
      </w:r>
      <w:r w:rsidR="00510181" w:rsidRPr="00371514">
        <w:t>(Weise 2012; Abrams 2006; Abrams and Butkiewicz 2012)</w:t>
      </w:r>
      <w:r w:rsidR="00B44C40" w:rsidRPr="00371514">
        <w:t>.</w:t>
      </w:r>
      <w:r w:rsidR="00493E64" w:rsidRPr="00371514">
        <w:t xml:space="preserve"> More particularly, Nixon often moved in concert with “the </w:t>
      </w:r>
      <w:r w:rsidR="00E42722" w:rsidRPr="00371514">
        <w:t>Q</w:t>
      </w:r>
      <w:r w:rsidR="00493E64" w:rsidRPr="00371514">
        <w:t>uadriad”</w:t>
      </w:r>
      <w:r w:rsidR="0014687D" w:rsidRPr="00371514">
        <w:t xml:space="preserve">, which is made up of </w:t>
      </w:r>
      <w:r w:rsidR="00E42722" w:rsidRPr="00371514">
        <w:t>Nixon, Connally, Shultz</w:t>
      </w:r>
      <w:r w:rsidR="0014687D" w:rsidRPr="00371514">
        <w:t xml:space="preserve"> and</w:t>
      </w:r>
      <w:r w:rsidR="00E42722" w:rsidRPr="00371514">
        <w:t xml:space="preserve"> McCracken</w:t>
      </w:r>
      <w:r w:rsidR="0014687D" w:rsidRPr="00371514">
        <w:t>. They together</w:t>
      </w:r>
      <w:r w:rsidR="00E42722" w:rsidRPr="00371514">
        <w:t xml:space="preserve"> often coordinated talking points to corner Burns in meetings (Abrams and Butkiewicz 2012).</w:t>
      </w:r>
    </w:p>
    <w:p w14:paraId="535C01DE" w14:textId="54A6F176" w:rsidR="00E2278A" w:rsidRPr="00371514" w:rsidRDefault="00DF65CE" w:rsidP="00856FFA">
      <w:r w:rsidRPr="00371514">
        <w:t>The intimidation that Nixon engaged in</w:t>
      </w:r>
      <w:r w:rsidR="00A32B44" w:rsidRPr="00371514">
        <w:t xml:space="preserve"> towards Burns</w:t>
      </w:r>
      <w:r w:rsidRPr="00371514">
        <w:t xml:space="preserve"> did not just stop at the clear intent to disregard the institutional framework for monetary policy. The Nixon administration directly threatened </w:t>
      </w:r>
      <w:r w:rsidR="00DA6E3E" w:rsidRPr="00371514">
        <w:t>Arthur Burns’ job security itself by strongly implying that it depended on whether or not the Fed could deliver the “right monetary policy ahead of the 1972 elections</w:t>
      </w:r>
      <w:r w:rsidR="00197646" w:rsidRPr="00371514">
        <w:t xml:space="preserve"> (Abrams and Butkiewicz 2012; Wolkoff 1985)</w:t>
      </w:r>
      <w:r w:rsidR="00DA6E3E" w:rsidRPr="00371514">
        <w:t>. As a result, even though Burns personally disagreed with the policy, he ended up complying and made the monetary policy easier.</w:t>
      </w:r>
      <w:r w:rsidR="007B5987" w:rsidRPr="00371514">
        <w:t xml:space="preserve"> The discount rate went from 5.5% in May 1972 to 4.75% by November 1072, to 4.5% in December 1972.</w:t>
      </w:r>
      <w:r w:rsidR="005F6A01" w:rsidRPr="00371514">
        <w:t xml:space="preserve"> When the Fed reduced the discount rate on November 10</w:t>
      </w:r>
      <w:r w:rsidR="005F6A01" w:rsidRPr="00371514">
        <w:rPr>
          <w:vertAlign w:val="superscript"/>
        </w:rPr>
        <w:t>th</w:t>
      </w:r>
      <w:r w:rsidR="005F6A01" w:rsidRPr="00371514">
        <w:t xml:space="preserve"> and December 10</w:t>
      </w:r>
      <w:r w:rsidR="005F6A01" w:rsidRPr="00371514">
        <w:rPr>
          <w:vertAlign w:val="superscript"/>
        </w:rPr>
        <w:t>th</w:t>
      </w:r>
      <w:r w:rsidR="005F6A01" w:rsidRPr="00371514">
        <w:t>, Burns personally called Nixon to report to him that he did so, showing that Burns did coordinate with Nixon in an effort to appease him</w:t>
      </w:r>
      <w:r w:rsidR="00197646" w:rsidRPr="00371514">
        <w:t xml:space="preserve"> (Abrams 2006)</w:t>
      </w:r>
      <w:r w:rsidR="005F6A01" w:rsidRPr="00371514">
        <w:t>.</w:t>
      </w:r>
      <w:r w:rsidR="00E2278A" w:rsidRPr="00371514">
        <w:t xml:space="preserve"> Woolley highlights that Arthur Burns struggled a lot to convince FOMC members to keep the interest rates low, and that it most likely ended up doing so as a strategic move for the Fed to keep its autonomy,</w:t>
      </w:r>
      <w:r w:rsidR="00A55842" w:rsidRPr="00371514">
        <w:t xml:space="preserve"> stressing that the Fed is a strategic rational actor</w:t>
      </w:r>
      <w:r w:rsidR="00F06F36" w:rsidRPr="00371514">
        <w:t xml:space="preserve"> engaged in institutional bargaining rather</w:t>
      </w:r>
      <w:r w:rsidR="00A55842" w:rsidRPr="00371514">
        <w:t xml:space="preserve"> </w:t>
      </w:r>
      <w:r w:rsidR="00F06F36" w:rsidRPr="00371514">
        <w:t xml:space="preserve">than a </w:t>
      </w:r>
      <w:r w:rsidR="00A55842" w:rsidRPr="00371514">
        <w:t>captured or manipulated by the incumbent administration (Woolley 1985)</w:t>
      </w:r>
      <w:r w:rsidR="00E2278A" w:rsidRPr="00371514">
        <w:t>.</w:t>
      </w:r>
    </w:p>
    <w:p w14:paraId="0B9C762B" w14:textId="4C460E0D" w:rsidR="005539E5" w:rsidRPr="00371514" w:rsidRDefault="00C26280" w:rsidP="00856FFA">
      <w:r w:rsidRPr="00371514">
        <w:t>Nixon did not only use coercive intimidation to pressure the Fed’s monetary policy, he also used techniques of coercive signaling. He orchestrated “anonymous media leaks” designed to hurt Arthur Burns’ image. In one instance, one of those leaks suggested that Arthur Burns asked for a pay, thereby worsening the public image and the credibility of the Fed. Moreover, Nixon’s inner circle also spread rumors suggesting that Nixon was considering to potentially restructure the Fed if Burns did not cooperate with the executive’s economic policy expectations</w:t>
      </w:r>
      <w:r w:rsidR="002B4028" w:rsidRPr="00371514">
        <w:t xml:space="preserve"> (Abrams 2006; Cargill and O’Driscoll 2013)</w:t>
      </w:r>
      <w:r w:rsidRPr="00371514">
        <w:t>.</w:t>
      </w:r>
      <w:r w:rsidR="00035E5D" w:rsidRPr="00371514">
        <w:t xml:space="preserve"> Once again, Ehrlichman</w:t>
      </w:r>
      <w:r w:rsidR="00F76065" w:rsidRPr="00371514">
        <w:t xml:space="preserve">, along with Bob Haldeman, played an instrumental role in coercing the </w:t>
      </w:r>
      <w:r w:rsidR="006645E8" w:rsidRPr="00371514">
        <w:t>F</w:t>
      </w:r>
      <w:r w:rsidR="00F76065" w:rsidRPr="00371514">
        <w:t>ed as they both worked to leak false stories of the Nixon administration considering to either expand the Federal Reserve Board, or to bring the Fed under the executive, with the expressed intent to “worry Arthur a little”</w:t>
      </w:r>
      <w:r w:rsidR="002B4028" w:rsidRPr="00371514">
        <w:t xml:space="preserve"> (Abrams and Butkiewicz 2012)</w:t>
      </w:r>
      <w:r w:rsidR="00F76065" w:rsidRPr="00371514">
        <w:t>.</w:t>
      </w:r>
    </w:p>
    <w:p w14:paraId="089B7729" w14:textId="147A4C48" w:rsidR="00E2278A" w:rsidRPr="00371514" w:rsidRDefault="00E2278A" w:rsidP="00856FFA">
      <w:r w:rsidRPr="00371514">
        <w:lastRenderedPageBreak/>
        <w:t xml:space="preserve">When reading the literature it is quite easy to perceive Burns as Richard Nixon’s lackey, but Woolley argues against that perception, depicting a much more nuanced picture. Arthur Buns and Richard Nixon together </w:t>
      </w:r>
      <w:r w:rsidR="0094456D" w:rsidRPr="00371514">
        <w:t xml:space="preserve">held </w:t>
      </w:r>
      <w:r w:rsidRPr="00371514">
        <w:t>very cordial relations for a long time</w:t>
      </w:r>
      <w:r w:rsidR="0094456D" w:rsidRPr="00371514">
        <w:t xml:space="preserve">, and even if they agreed on key monetary policy aspects, Burns </w:t>
      </w:r>
      <w:r w:rsidR="00203D73" w:rsidRPr="00371514">
        <w:t xml:space="preserve">strongly advocated for an income policy, both in private and in public, even though Nixon didn’t want to hear about it. After repeated very blatant attempts at pressuring the Fed, Burns became increasingly frustrated and angry at Nixon, culminating in Charles Colson unleashing an attack on the Fed which Burns very bitterly resented, and made Nixon aware of it through friends they had in common, which was shortly followed by a public apology by Nixon during a press conference. Nixon would later end up adopting an income policy and price controls, showing that he personally valued Burns and cared about good relations with him. Maybe this was a strategic move the ensure that Burns would ease the monetary policy before the 1972 elections, but in any case, this story highlights a </w:t>
      </w:r>
      <w:r w:rsidR="00A55842" w:rsidRPr="00371514">
        <w:t>that rather than</w:t>
      </w:r>
      <w:r w:rsidR="00203D73" w:rsidRPr="00371514">
        <w:t xml:space="preserve"> Burns following Nixon’s orders</w:t>
      </w:r>
      <w:r w:rsidR="00A55842" w:rsidRPr="00371514">
        <w:t xml:space="preserve"> like a soldiers, he instead navigated the situation strategically, securing monetary policy where possible and giving in where necessary</w:t>
      </w:r>
      <w:r w:rsidR="0032182F" w:rsidRPr="00371514">
        <w:t>. This is c</w:t>
      </w:r>
      <w:r w:rsidR="00A55842" w:rsidRPr="00371514">
        <w:t xml:space="preserve">oherent with Woolley’s </w:t>
      </w:r>
      <w:r w:rsidR="0032182F" w:rsidRPr="00371514">
        <w:t xml:space="preserve">wider institutional </w:t>
      </w:r>
      <w:r w:rsidR="00A55842" w:rsidRPr="00371514">
        <w:t>depiction of the Fed as a rational</w:t>
      </w:r>
      <w:r w:rsidR="00D576AE" w:rsidRPr="00371514">
        <w:t xml:space="preserve"> actor engaged in institutional bargaining</w:t>
      </w:r>
      <w:r w:rsidR="00B53164" w:rsidRPr="00371514">
        <w:t xml:space="preserve"> </w:t>
      </w:r>
      <w:r w:rsidR="0032182F" w:rsidRPr="00371514">
        <w:t xml:space="preserve">rather than subject to coercion </w:t>
      </w:r>
      <w:r w:rsidR="00B53164" w:rsidRPr="00371514">
        <w:t>(Woolley 1985)</w:t>
      </w:r>
      <w:r w:rsidR="00203D73" w:rsidRPr="00371514">
        <w:t>.</w:t>
      </w:r>
    </w:p>
    <w:p w14:paraId="4BF2AD47" w14:textId="74B425B0" w:rsidR="006645E8" w:rsidRPr="00371514" w:rsidRDefault="00C2556F" w:rsidP="00856FFA">
      <w:r w:rsidRPr="00371514">
        <w:t>T</w:t>
      </w:r>
      <w:r w:rsidR="00C16CA6" w:rsidRPr="00371514">
        <w:t xml:space="preserve">he literature suggests that the Nixon administration was not the only one to pressure the </w:t>
      </w:r>
      <w:r w:rsidR="00AF47F3">
        <w:t>F</w:t>
      </w:r>
      <w:r w:rsidR="003A4F63" w:rsidRPr="00371514">
        <w:t xml:space="preserve">ederal </w:t>
      </w:r>
      <w:r w:rsidR="00AF47F3">
        <w:t>R</w:t>
      </w:r>
      <w:r w:rsidR="003A4F63" w:rsidRPr="00371514">
        <w:t>eserve</w:t>
      </w:r>
      <w:r w:rsidR="00C16CA6" w:rsidRPr="00371514">
        <w:t>, and Arthur Burns was</w:t>
      </w:r>
      <w:r w:rsidR="003A4F63" w:rsidRPr="00371514">
        <w:t xml:space="preserve"> not</w:t>
      </w:r>
      <w:r w:rsidR="00C16CA6" w:rsidRPr="00371514">
        <w:t xml:space="preserve"> the only </w:t>
      </w:r>
      <w:r w:rsidR="003A4F63" w:rsidRPr="00371514">
        <w:t>Fed chair</w:t>
      </w:r>
      <w:r w:rsidR="00C16CA6" w:rsidRPr="00371514">
        <w:t xml:space="preserve"> to give in</w:t>
      </w:r>
      <w:r w:rsidR="003A4F63" w:rsidRPr="00371514">
        <w:t>. Cargil</w:t>
      </w:r>
      <w:r w:rsidR="005F114D" w:rsidRPr="00371514">
        <w:t>l</w:t>
      </w:r>
      <w:r w:rsidR="003A4F63" w:rsidRPr="00371514">
        <w:t xml:space="preserve"> and O’Driscoll in their 2013 paper draw a qualitative institutional critique of the Fed going as back as the Fed under McCabe, more particularly in relation to the 1951 accord. </w:t>
      </w:r>
      <w:r w:rsidR="005F114D" w:rsidRPr="00371514">
        <w:t>T</w:t>
      </w:r>
      <w:r w:rsidR="003A4F63" w:rsidRPr="00371514">
        <w:t xml:space="preserve">his accord allowed the </w:t>
      </w:r>
      <w:r w:rsidR="006645E8" w:rsidRPr="00371514">
        <w:t>F</w:t>
      </w:r>
      <w:r w:rsidR="003A4F63" w:rsidRPr="00371514">
        <w:t>ed to set interest rates and conduct open market operations without political pressure from the Treasury, unlike during the second world war</w:t>
      </w:r>
      <w:r w:rsidR="00255C72" w:rsidRPr="00371514">
        <w:t xml:space="preserve"> and the post war years, a time when the Fed was essentially subordinate to the US Treasury, which thus tightly controlled the monetary policy in order to help finance wartime spending.</w:t>
      </w:r>
      <w:r w:rsidR="005F114D" w:rsidRPr="00371514">
        <w:t xml:space="preserve"> Even though this accord is widely interpreted as a crucial event in which the Fed regained its independence, Cargill and O’Driscoll argue</w:t>
      </w:r>
      <w:r w:rsidR="004A6248" w:rsidRPr="00371514">
        <w:t xml:space="preserve"> that even though it was more free in the tools it could use to shape the economy, it still wasn’t freed from political influence, pointing out how Truman forced Thomas B. McCabe to resign from his position as the chair of the </w:t>
      </w:r>
      <w:r w:rsidR="00AF47F3">
        <w:t>F</w:t>
      </w:r>
      <w:r w:rsidR="004A6248" w:rsidRPr="00371514">
        <w:t xml:space="preserve">ederal </w:t>
      </w:r>
      <w:r w:rsidR="00AF47F3">
        <w:t>R</w:t>
      </w:r>
      <w:r w:rsidR="004A6248" w:rsidRPr="00371514">
        <w:t>eserve.</w:t>
      </w:r>
      <w:r w:rsidR="00780D74" w:rsidRPr="00371514">
        <w:t xml:space="preserve"> They also point out that the Fed at the time was very discretionary and opaque on the way it conducted monetary policy and that there was no institutional guarantee that </w:t>
      </w:r>
      <w:r w:rsidR="00C26D78" w:rsidRPr="00371514">
        <w:t>the choice of policy targets of the Fed was not influenced whatsoever by the wishes of politicians, and that therefore the widespread conception according to which the 1951 accord marked the renewed independence of the Fed is largely misleading</w:t>
      </w:r>
      <w:r w:rsidR="008E26B8" w:rsidRPr="00371514">
        <w:t xml:space="preserve">. They also explain that Fed chairman William McChesney Martin </w:t>
      </w:r>
      <w:r w:rsidR="00EA669C" w:rsidRPr="00371514">
        <w:t>was accommodating staring from the Johnson administration, as it implemented the Great Society program and started the war in Vietnam, which the Fed did accommodate, at least in part</w:t>
      </w:r>
      <w:r w:rsidR="004C5E0E" w:rsidRPr="00371514">
        <w:t xml:space="preserve"> (Cargill and O’Driscoll 2013)</w:t>
      </w:r>
      <w:r w:rsidR="00EA669C" w:rsidRPr="00371514">
        <w:t>.</w:t>
      </w:r>
      <w:r w:rsidR="004C5E0E" w:rsidRPr="00371514">
        <w:t xml:space="preserve"> </w:t>
      </w:r>
      <w:r w:rsidR="00094526" w:rsidRPr="00371514">
        <w:t>In fact</w:t>
      </w:r>
      <w:r w:rsidR="004C5E0E" w:rsidRPr="00371514">
        <w:t>, even though Martin</w:t>
      </w:r>
      <w:r w:rsidR="00094526" w:rsidRPr="00371514">
        <w:t xml:space="preserve"> personally</w:t>
      </w:r>
      <w:r w:rsidR="004C5E0E" w:rsidRPr="00371514">
        <w:t xml:space="preserve"> held anti-inflationary views, he ended up </w:t>
      </w:r>
      <w:r w:rsidR="00094526" w:rsidRPr="00371514">
        <w:t>yielding to the economics team of the Kennedy and Johnson administrations, for the sake of consensus. As a result, the Fed did not manage to tighten the economy appropriately by 1968</w:t>
      </w:r>
      <w:r w:rsidR="00EC3481" w:rsidRPr="00371514">
        <w:t xml:space="preserve"> (Romer and Romer 2004)</w:t>
      </w:r>
      <w:r w:rsidR="00C5751C" w:rsidRPr="00371514">
        <w:t xml:space="preserve">. </w:t>
      </w:r>
      <w:r w:rsidR="00EA669C" w:rsidRPr="00371514">
        <w:t>It is important to note that Cargill and O’Driscoll chose to put Martin and Burns in the same category, as</w:t>
      </w:r>
      <w:r w:rsidR="00C5751C" w:rsidRPr="00371514">
        <w:t xml:space="preserve"> chairmen which were</w:t>
      </w:r>
      <w:r w:rsidR="00EA669C" w:rsidRPr="00371514">
        <w:t xml:space="preserve"> particularly accommodating Fed</w:t>
      </w:r>
      <w:r w:rsidR="00C5751C" w:rsidRPr="00371514">
        <w:t>;</w:t>
      </w:r>
      <w:r w:rsidR="00EA669C" w:rsidRPr="00371514">
        <w:t xml:space="preserve"> even though they </w:t>
      </w:r>
      <w:r w:rsidR="00D603C8" w:rsidRPr="00371514">
        <w:t xml:space="preserve">did </w:t>
      </w:r>
      <w:r w:rsidR="00EA669C" w:rsidRPr="00371514">
        <w:t>describe Burns’ propensity to being accommodating at greater lengths.</w:t>
      </w:r>
      <w:r w:rsidR="00A24B37" w:rsidRPr="00371514">
        <w:t xml:space="preserve"> While it is widely </w:t>
      </w:r>
      <w:r w:rsidR="00A24B37" w:rsidRPr="00371514">
        <w:lastRenderedPageBreak/>
        <w:t>understood that Fed chairman Paul Volcker marked a clear difference in the Fed’s behavior,</w:t>
      </w:r>
      <w:r w:rsidR="00D51E29" w:rsidRPr="00371514">
        <w:t xml:space="preserve"> making it more independent,</w:t>
      </w:r>
      <w:r w:rsidR="00A24B37" w:rsidRPr="00371514">
        <w:t xml:space="preserve"> Cargill and O’Driscoll argue that this change in monetary policy was only possible thanks to the political backing of the Carter and Reagan administrations, both being convinced that tackling inflation was key in order to restore prosperity</w:t>
      </w:r>
      <w:r w:rsidR="001A7A53" w:rsidRPr="00371514">
        <w:t>.</w:t>
      </w:r>
      <w:r w:rsidR="00B04C7C" w:rsidRPr="00371514">
        <w:t xml:space="preserve"> </w:t>
      </w:r>
      <w:r w:rsidR="00EC360B" w:rsidRPr="00371514">
        <w:t>Cargill and O’Driscoll also argue that the Fed under Greenspan is responsible for the 2008 boom and bust of the American housing market due to a deviation of the Taylor rule leading to interest rates lower than necessary and thereby massively encourage the housing market growth. They report that Greenspan later testified to the Financial Crisis Commission</w:t>
      </w:r>
      <w:r w:rsidR="002D0479" w:rsidRPr="00371514">
        <w:t xml:space="preserve"> “that if the Federal Reserve had tried to slow down the housing market amid a </w:t>
      </w:r>
      <w:r w:rsidR="000E3562" w:rsidRPr="00371514">
        <w:t>‘fairly broad consensus’ about encouraging homeownership, ‘the Congress would have clamped down on us’”</w:t>
      </w:r>
      <w:r w:rsidR="001C3BEC" w:rsidRPr="00371514">
        <w:rPr>
          <w:rStyle w:val="FootnoteReference"/>
        </w:rPr>
        <w:footnoteReference w:id="1"/>
      </w:r>
      <w:r w:rsidR="000E3562" w:rsidRPr="00371514">
        <w:t>, which suggests that the Fed was influenced in its decision by a fear of congressional action, highlighting its importance.</w:t>
      </w:r>
      <w:r w:rsidR="001C3BEC" w:rsidRPr="00371514">
        <w:t xml:space="preserve"> Although at their time of writing Bernanke was still the chair of the </w:t>
      </w:r>
      <w:r w:rsidR="00AF47F3">
        <w:t>F</w:t>
      </w:r>
      <w:r w:rsidR="001C3BEC" w:rsidRPr="00371514">
        <w:t xml:space="preserve">ederal </w:t>
      </w:r>
      <w:r w:rsidR="00AF47F3">
        <w:t>R</w:t>
      </w:r>
      <w:r w:rsidR="001C3BEC" w:rsidRPr="00371514">
        <w:t>eserve, Cargill and O’Driscoll argue that he was instrumental in the monetary policy of Greenspan leading up to the elections and highlight the short-sightedness of his monetary policies to suggest that the Fed’s leadership has been “captured by the Board of Governors’ staff, whose forecasts assume a temporary tradeoff between inflation and unemployment, rather than bringing much-needed changes to the bureaucracy”</w:t>
      </w:r>
      <w:r w:rsidR="001C3BEC" w:rsidRPr="00371514">
        <w:rPr>
          <w:rStyle w:val="FootnoteReference"/>
        </w:rPr>
        <w:footnoteReference w:id="2"/>
      </w:r>
      <w:r w:rsidR="001C3BEC" w:rsidRPr="00371514">
        <w:t>.</w:t>
      </w:r>
      <w:r w:rsidR="00B83DAA" w:rsidRPr="00371514">
        <w:t xml:space="preserve"> In sum, Cargill and O’Driscoll in their 2013 paper argue that the Fed has never been de facto independent and that in fact, practically all the Fed chairs from McCabe to Bernanke have been subject to political pressure, either from the incumbent administration directly, from congressional pressure, or from the Board of Governors</w:t>
      </w:r>
      <w:r w:rsidR="000E3562" w:rsidRPr="00371514">
        <w:t xml:space="preserve"> </w:t>
      </w:r>
      <w:r w:rsidR="00C26D78" w:rsidRPr="00371514">
        <w:t>(Cargill and O’Driscoll 2013)</w:t>
      </w:r>
      <w:r w:rsidR="00B83DAA" w:rsidRPr="00371514">
        <w:t>.</w:t>
      </w:r>
      <w:r w:rsidR="00DD129A" w:rsidRPr="00371514">
        <w:t xml:space="preserve"> The idea that the Board of Governors is instrumental for the incumbent administration to influence the </w:t>
      </w:r>
      <w:r w:rsidR="00AF47F3">
        <w:t>F</w:t>
      </w:r>
      <w:r w:rsidR="00DD129A" w:rsidRPr="00371514">
        <w:t xml:space="preserve">ederal </w:t>
      </w:r>
      <w:r w:rsidR="00AF47F3">
        <w:t>R</w:t>
      </w:r>
      <w:r w:rsidR="00DD129A" w:rsidRPr="00371514">
        <w:t>eserve’s policy is a very widespread idea in the literature</w:t>
      </w:r>
      <w:r w:rsidR="006D1071">
        <w:t xml:space="preserve"> </w:t>
      </w:r>
      <w:r w:rsidR="006D1071" w:rsidRPr="006D1071">
        <w:t>(Woolley 1985; Jordan and Luther 2022; Falaschetti 2002; Havrilesky and Gildea 1992)</w:t>
      </w:r>
      <w:r w:rsidR="00DD129A" w:rsidRPr="00371514">
        <w:t>.</w:t>
      </w:r>
    </w:p>
    <w:p w14:paraId="67EB9D2C" w14:textId="0408BE00" w:rsidR="00684C5C" w:rsidRPr="00371514" w:rsidRDefault="00B04C7C" w:rsidP="00856FFA">
      <w:r w:rsidRPr="00371514">
        <w:t xml:space="preserve">The notion that the tenure of Volcker and Greenspan as Fed chairmen is not as independent </w:t>
      </w:r>
      <w:r w:rsidR="00826809" w:rsidRPr="00371514">
        <w:t xml:space="preserve">from political influence, </w:t>
      </w:r>
      <w:r w:rsidRPr="00371514">
        <w:t>as is widely believed</w:t>
      </w:r>
      <w:r w:rsidR="00826809" w:rsidRPr="00371514">
        <w:t>,</w:t>
      </w:r>
      <w:r w:rsidRPr="00371514">
        <w:t xml:space="preserve"> is corroborated in the literature by quantitative evidence of monetary policy being generally easier in the months prior to their reappointment as chairmen (Gamber and Hakes 2006). The same seems to also be true for the period from 1963Q1 to 2017 Q4 (Dentler 2019).</w:t>
      </w:r>
      <w:r w:rsidR="00AA22FE" w:rsidRPr="00371514">
        <w:t xml:space="preserve"> Consistent with the rest of the literature, a lot of findings point to Burns significantly easing the monetary policy before his own reappointment</w:t>
      </w:r>
      <w:r w:rsidR="00E603E0" w:rsidRPr="00371514">
        <w:t xml:space="preserve"> (Romer and Romer 2004; Weise 2012)</w:t>
      </w:r>
      <w:r w:rsidR="00AA22FE" w:rsidRPr="00371514">
        <w:t>.</w:t>
      </w:r>
      <w:r w:rsidRPr="00371514">
        <w:t xml:space="preserve"> Those findings would confirm that the job security of the chair of the </w:t>
      </w:r>
      <w:r w:rsidR="00AF47F3">
        <w:t>F</w:t>
      </w:r>
      <w:r w:rsidRPr="00371514">
        <w:t xml:space="preserve">ederal </w:t>
      </w:r>
      <w:r w:rsidR="00AF47F3">
        <w:t>R</w:t>
      </w:r>
      <w:r w:rsidRPr="00371514">
        <w:t xml:space="preserve">eserve being in the hands of the president of the United States makes the Fed more prone to political influence in monetary policy decision. This </w:t>
      </w:r>
      <w:r w:rsidRPr="00371514">
        <w:rPr>
          <w:i/>
          <w:iCs/>
        </w:rPr>
        <w:t>de facto</w:t>
      </w:r>
      <w:r w:rsidRPr="00371514">
        <w:t xml:space="preserve"> flaw in the </w:t>
      </w:r>
      <w:r w:rsidRPr="00371514">
        <w:rPr>
          <w:i/>
          <w:iCs/>
        </w:rPr>
        <w:t>de jure</w:t>
      </w:r>
      <w:r w:rsidRPr="00371514">
        <w:t xml:space="preserve"> independence of the Fed is quantitatively analyzed by Jordan and Luther in their 2022 study (Jordan and Luther 2022).</w:t>
      </w:r>
    </w:p>
    <w:p w14:paraId="76533D49" w14:textId="6AD414DF" w:rsidR="00D5268E" w:rsidRPr="00371514" w:rsidRDefault="00684C5C" w:rsidP="00856FFA">
      <w:r w:rsidRPr="00371514">
        <w:t xml:space="preserve">Moreover, beyond the considerations of job security, the appointments of </w:t>
      </w:r>
      <w:r w:rsidR="00AF47F3">
        <w:t>F</w:t>
      </w:r>
      <w:r w:rsidRPr="00371514">
        <w:t xml:space="preserve">ederal </w:t>
      </w:r>
      <w:r w:rsidR="00AF47F3">
        <w:t>R</w:t>
      </w:r>
      <w:r w:rsidRPr="00371514">
        <w:t>eserve chairmen by the president were often made with a clear bias on economic views.</w:t>
      </w:r>
      <w:r w:rsidR="006223FF" w:rsidRPr="00371514">
        <w:t xml:space="preserve"> Nixon appointed Burns because he accepted the “New Economics” frameworks under his tenure. G. William Miller was appointed as Fed chair by Carter because he resisted contractionary </w:t>
      </w:r>
      <w:r w:rsidR="006223FF" w:rsidRPr="00371514">
        <w:lastRenderedPageBreak/>
        <w:t>policy, which later contributed to high inflation under the Carter administration (Romer and Romer 2004).</w:t>
      </w:r>
      <w:r w:rsidR="00D5268E" w:rsidRPr="00371514">
        <w:t xml:space="preserve"> Even beyond the ideologies of individual presidents of </w:t>
      </w:r>
      <w:r w:rsidR="00AF47F3">
        <w:t>F</w:t>
      </w:r>
      <w:r w:rsidR="00D5268E" w:rsidRPr="00371514">
        <w:t xml:space="preserve">ederal </w:t>
      </w:r>
      <w:r w:rsidR="00AF47F3">
        <w:t>R</w:t>
      </w:r>
      <w:r w:rsidR="00D5268E" w:rsidRPr="00371514">
        <w:t>eserve chairmen, Dickens in his 2016 book argues that the very institution of the Fed has a deep embedded ideological bias towards the growth of large capital and against labor movements. One of his arguments is the fact that the creation of the Fed was founded as a result of the institutional alliance between the large New York banks and the large regional banks to preserve their profit margins and undermine the democratic accountability of the central bank (Dickens 2016).</w:t>
      </w:r>
      <w:r w:rsidR="00EC2AA0" w:rsidRPr="00371514">
        <w:t xml:space="preserve"> The idea of the Fed as an institution which is under great ideological and informal influence from bankers from its very inception is also corroborated by Woolley</w:t>
      </w:r>
      <w:r w:rsidR="00437636" w:rsidRPr="00371514">
        <w:t>. Moreover, he</w:t>
      </w:r>
      <w:r w:rsidR="00387E8A" w:rsidRPr="00371514">
        <w:t xml:space="preserve"> applies the notion</w:t>
      </w:r>
      <w:r w:rsidR="00437636" w:rsidRPr="00371514">
        <w:t xml:space="preserve"> of regulatory capture</w:t>
      </w:r>
      <w:r w:rsidR="00387E8A" w:rsidRPr="00371514">
        <w:t xml:space="preserve"> to the Fed, which means that the Fed is more prone to adopt banker-friendly policies due to personal networks and shared economic perspectives</w:t>
      </w:r>
      <w:r w:rsidR="00496ED8" w:rsidRPr="00371514">
        <w:t xml:space="preserve"> (Woolley 1985)</w:t>
      </w:r>
      <w:r w:rsidR="00437636" w:rsidRPr="00371514">
        <w:t xml:space="preserve">. </w:t>
      </w:r>
    </w:p>
    <w:p w14:paraId="3B00C1BF" w14:textId="555C6110" w:rsidR="007E150D" w:rsidRPr="00371514" w:rsidRDefault="008156C8" w:rsidP="00856FFA">
      <w:r w:rsidRPr="00371514">
        <w:t>Because Congress</w:t>
      </w:r>
      <w:r w:rsidR="00664719" w:rsidRPr="00371514">
        <w:t xml:space="preserve"> was at the origin of the inception of the </w:t>
      </w:r>
      <w:r w:rsidR="00AF47F3">
        <w:t>F</w:t>
      </w:r>
      <w:r w:rsidR="00664719" w:rsidRPr="00371514">
        <w:t xml:space="preserve">ederal </w:t>
      </w:r>
      <w:r w:rsidR="00AF47F3">
        <w:t>R</w:t>
      </w:r>
      <w:r w:rsidR="00664719" w:rsidRPr="00371514">
        <w:t>eserve</w:t>
      </w:r>
      <w:r w:rsidR="00856FFA" w:rsidRPr="00371514">
        <w:t>,</w:t>
      </w:r>
      <w:r w:rsidR="00664719" w:rsidRPr="00371514">
        <w:t xml:space="preserve"> it</w:t>
      </w:r>
      <w:r w:rsidR="00856FFA" w:rsidRPr="00371514">
        <w:t xml:space="preserve"> has</w:t>
      </w:r>
      <w:r w:rsidR="00664719" w:rsidRPr="00371514">
        <w:t xml:space="preserve"> the right to amend it or </w:t>
      </w:r>
      <w:r w:rsidR="001D5114" w:rsidRPr="00371514">
        <w:t>repeal</w:t>
      </w:r>
      <w:r w:rsidR="00664719" w:rsidRPr="00371514">
        <w:t xml:space="preserve"> it at any time</w:t>
      </w:r>
      <w:r w:rsidR="001D5114" w:rsidRPr="00371514">
        <w:t>, which gives congress significant leverage over it</w:t>
      </w:r>
      <w:r w:rsidR="00664719" w:rsidRPr="00371514">
        <w:t>.</w:t>
      </w:r>
      <w:r w:rsidR="00190242" w:rsidRPr="00371514">
        <w:t xml:space="preserve"> </w:t>
      </w:r>
      <w:r w:rsidR="007B0864" w:rsidRPr="00371514">
        <w:t>Indeed,</w:t>
      </w:r>
      <w:r w:rsidR="00190242" w:rsidRPr="00371514">
        <w:t xml:space="preserve"> </w:t>
      </w:r>
      <w:r w:rsidR="007B0864" w:rsidRPr="00371514">
        <w:t xml:space="preserve">the </w:t>
      </w:r>
      <w:r w:rsidR="00190242" w:rsidRPr="00371514">
        <w:t>members of the board of governors are appointed by the president and confirmed by the senate</w:t>
      </w:r>
      <w:r w:rsidR="00742B96" w:rsidRPr="00371514">
        <w:t>, which creates an incentive for politically aligned appointments</w:t>
      </w:r>
      <w:r w:rsidR="007B0864" w:rsidRPr="00371514">
        <w:t xml:space="preserve"> (Havrilesky 1994; Jordan and Luther 2022; Binder 2016)</w:t>
      </w:r>
      <w:r w:rsidR="007E150D" w:rsidRPr="00371514">
        <w:t>.</w:t>
      </w:r>
      <w:r w:rsidR="0060333F" w:rsidRPr="00371514">
        <w:t xml:space="preserve"> A prominent example of a congressional threat to the Fed’s independence is t</w:t>
      </w:r>
      <w:r w:rsidR="007E150D" w:rsidRPr="00371514">
        <w:t>he 1975 Proxmire-Humphrey Resolution in which senators William Proxmire and Hubert Humphrey called on the Fed to ease monetary policy during a recession, FOMC members discussed this explicitly as a political constraint on their actions</w:t>
      </w:r>
      <w:r w:rsidR="004C1000" w:rsidRPr="00371514">
        <w:t xml:space="preserve"> which shouldn’t interfere in the monetary policy decision process</w:t>
      </w:r>
      <w:r w:rsidR="007E150D" w:rsidRPr="00371514">
        <w:t>.</w:t>
      </w:r>
      <w:r w:rsidR="004C1000" w:rsidRPr="00371514">
        <w:t xml:space="preserve"> However, the Fed at the time already lead an expansionary policy, the resolution was just even more so. In the end, the contemporary incumbent administration which was under Gerald R. Ford chose to respect the Fed’s independence. The monetary policy of the Fed at that time man</w:t>
      </w:r>
      <w:r w:rsidR="00144BDC" w:rsidRPr="00371514">
        <w:t>a</w:t>
      </w:r>
      <w:r w:rsidR="004C1000" w:rsidRPr="00371514">
        <w:t>ged to bring inflation under 5% in early 1976</w:t>
      </w:r>
      <w:r w:rsidR="00B335E3" w:rsidRPr="00371514">
        <w:t xml:space="preserve"> (Woolley 1985; Weise 2012)</w:t>
      </w:r>
      <w:r w:rsidR="004C1000" w:rsidRPr="00371514">
        <w:t xml:space="preserve">. Another attempt of congressional influence in the Fed’s monetary policy took place in </w:t>
      </w:r>
      <w:r w:rsidR="00663B16" w:rsidRPr="00371514">
        <w:t xml:space="preserve">May </w:t>
      </w:r>
      <w:r w:rsidR="004C1000" w:rsidRPr="00371514">
        <w:t>1982 when the Senate Budget Committee passed a resolution calling on the Fed to increase the money supply if Congress reduced the federal deficit, thereby tying monetary policy to fiscal policy commitment, which also ties the hands of the Fed, a serious threat to its independence.</w:t>
      </w:r>
      <w:r w:rsidR="00663B16" w:rsidRPr="00371514">
        <w:t xml:space="preserve"> This resolution happened in a context of broader restrictive monetary policies implemented by Fed chair Paul Volcker. In fact, prior to the resolution, in February 1982, the chair of the Joint Economic Committee of Congress urged Volcker not to reduce the money supply growth rate targets. This was interpreted by the president of the Federal Reserve Bank of Minneapolis as increased political pressure on the Fed by the Re</w:t>
      </w:r>
      <w:r w:rsidR="00E120C4" w:rsidRPr="00371514">
        <w:t>a</w:t>
      </w:r>
      <w:r w:rsidR="00663B16" w:rsidRPr="00371514">
        <w:t>gan administration (Weise 2012).</w:t>
      </w:r>
      <w:r w:rsidR="000D14C0" w:rsidRPr="00371514">
        <w:t xml:space="preserve"> </w:t>
      </w:r>
      <w:r w:rsidR="00B94E7C" w:rsidRPr="00371514">
        <w:t>The literature also presents quantitative evidence that the Fed is more likely to comply with the executive’s wishes when Congress threatens the Fed’s autonomy, and even more so if the executive supports the Fed during political challenges (Havrilesky 1994), thereby corroborating the argument made by Weise.</w:t>
      </w:r>
      <w:r w:rsidR="00663B16" w:rsidRPr="00371514">
        <w:t xml:space="preserve"> Even outside of the potential resolutions on monetary policy which congress can pass</w:t>
      </w:r>
      <w:r w:rsidR="008F2BF3" w:rsidRPr="00371514">
        <w:t xml:space="preserve">, congress still has an opportunity to pressure the Federal </w:t>
      </w:r>
      <w:r w:rsidR="00AF47F3">
        <w:t>R</w:t>
      </w:r>
      <w:r w:rsidR="008F2BF3" w:rsidRPr="00371514">
        <w:t>eserve during the Monetary Policy Reports which the Fed is obligated to do to congress twice a year, and which often includes pointed political statements or veiled threats (Jordan and Luther 2022).</w:t>
      </w:r>
      <w:r w:rsidR="00356365" w:rsidRPr="00371514">
        <w:t xml:space="preserve"> As such the literature suggests that congress indeed has power to be able to pressure the Fed into shaping a </w:t>
      </w:r>
      <w:r w:rsidR="00356365" w:rsidRPr="00371514">
        <w:lastRenderedPageBreak/>
        <w:t>monetary policy which is politically favorable, but would be unable to do so if the president decides to side with the Fed.</w:t>
      </w:r>
    </w:p>
    <w:p w14:paraId="48E85F3B" w14:textId="34C4EBEE" w:rsidR="000D14C0" w:rsidRPr="00371514" w:rsidRDefault="000D14C0" w:rsidP="00856FFA">
      <w:r w:rsidRPr="00371514">
        <w:t>The literature adds more nuance to this dynamic. Binder explains that</w:t>
      </w:r>
      <w:r w:rsidR="008A61C6" w:rsidRPr="00371514">
        <w:t xml:space="preserve"> the oversight of Congress on the Fed is countercyclical; Congress uses the Fed as a scapegoat when the economy does worse.</w:t>
      </w:r>
      <w:r w:rsidRPr="00371514">
        <w:t xml:space="preserve"> </w:t>
      </w:r>
      <w:r w:rsidR="008A61C6" w:rsidRPr="00371514">
        <w:t>W</w:t>
      </w:r>
      <w:r w:rsidRPr="00371514">
        <w:t xml:space="preserve">e can </w:t>
      </w:r>
      <w:r w:rsidR="008A61C6" w:rsidRPr="00371514">
        <w:t xml:space="preserve">also often </w:t>
      </w:r>
      <w:r w:rsidRPr="00371514">
        <w:t>observe a restructuration of the Fed after economic crises, reflecting changing political and economic priorities, although we can note that it often expands its role rather than reducing it</w:t>
      </w:r>
      <w:r w:rsidR="00BB4DE2" w:rsidRPr="00371514">
        <w:t>. Central Bank independence is the answer to the politicians’ dilemma of needing it to make sound long term decision while having the political incentive for short term growth (impairing long term growth). In other words, the Fed is most independent when the economy is doing well, and is subject to more scrutiny and scapegoating</w:t>
      </w:r>
      <w:r w:rsidR="00C30106" w:rsidRPr="00371514">
        <w:t xml:space="preserve"> when the economy does worse, even though Congress never fully impairs its independence</w:t>
      </w:r>
      <w:r w:rsidR="00BB4DE2" w:rsidRPr="00371514">
        <w:t xml:space="preserve"> </w:t>
      </w:r>
      <w:r w:rsidRPr="00371514">
        <w:t>(Binder 2016).</w:t>
      </w:r>
    </w:p>
    <w:p w14:paraId="7262AE01" w14:textId="35D169A2" w:rsidR="00F87BE6" w:rsidRPr="00371514" w:rsidRDefault="00F87BE6" w:rsidP="00856FFA">
      <w:r w:rsidRPr="00371514">
        <w:t xml:space="preserve">As such, the literature highlights how the Fed is not only </w:t>
      </w:r>
      <w:r w:rsidR="00097BA1" w:rsidRPr="00371514">
        <w:t>seeking macro-stability of the economy, it also has to constantly seek to secure its own institutional independence, giving it two different core objectives, which often happen to be contradictory as necessary anti-inflationary policies are usually widely unpopular, which is likely to prompt the incumbent administration or Congress to pressure the Fed by threatening restructuration</w:t>
      </w:r>
      <w:r w:rsidR="00556CBB" w:rsidRPr="00371514">
        <w:t xml:space="preserve"> </w:t>
      </w:r>
      <w:r w:rsidR="00FD3C1C" w:rsidRPr="00371514">
        <w:t>(Woolley 1985; Jordan and Luther 2022; Falaschetti 2002)</w:t>
      </w:r>
      <w:r w:rsidR="00097BA1" w:rsidRPr="00371514">
        <w:t>.</w:t>
      </w:r>
    </w:p>
    <w:p w14:paraId="17686448" w14:textId="2C3610B8" w:rsidR="003016D1" w:rsidRPr="00371514" w:rsidRDefault="003016D1" w:rsidP="00856FFA">
      <w:r w:rsidRPr="00371514">
        <w:t xml:space="preserve">Weise in their 2012 paper </w:t>
      </w:r>
      <w:r w:rsidR="00C0286D" w:rsidRPr="00371514">
        <w:t>summarizes</w:t>
      </w:r>
      <w:r w:rsidRPr="00371514">
        <w:t xml:space="preserve"> the political pressures on the Fed into three </w:t>
      </w:r>
      <w:r w:rsidR="00C0286D" w:rsidRPr="00371514">
        <w:t>categories</w:t>
      </w:r>
      <w:r w:rsidRPr="00371514">
        <w:t xml:space="preserve">: 1) Direct threats on the </w:t>
      </w:r>
      <w:r w:rsidR="00AF47F3">
        <w:t>F</w:t>
      </w:r>
      <w:r w:rsidRPr="00371514">
        <w:t xml:space="preserve">ederal </w:t>
      </w:r>
      <w:r w:rsidR="00AF47F3">
        <w:t>R</w:t>
      </w:r>
      <w:r w:rsidRPr="00371514">
        <w:t>eserve’s independence (legislative retaliation aiming to curb the Fed’s independence, or direct pressure from the white house), 2) normative expectations for the fed to support broader fiscal or administrative priorities, notably within the FOMC,</w:t>
      </w:r>
      <w:r w:rsidR="00BA02D3" w:rsidRPr="00371514">
        <w:t xml:space="preserve"> (especially via the BOG as was mentioned before),</w:t>
      </w:r>
      <w:r w:rsidRPr="00371514">
        <w:t xml:space="preserve"> and 3) Anticipated political reaction to political outcomes, notably through fiscal countermeasures to the Fed’s monetary policy to offset it (Weise 2012). While Weise only focuses on a period going from 1969 to 1982, his findings seem to be consistent with the rest of the literature, and, as the previous paragraph indicates, with most of the tenures of </w:t>
      </w:r>
      <w:r w:rsidR="00AF47F3">
        <w:t>F</w:t>
      </w:r>
      <w:r w:rsidRPr="00371514">
        <w:t xml:space="preserve">ederal </w:t>
      </w:r>
      <w:r w:rsidR="00AF47F3">
        <w:t>R</w:t>
      </w:r>
      <w:r w:rsidRPr="00371514">
        <w:t xml:space="preserve">eserve chairs all the way from 1951. </w:t>
      </w:r>
    </w:p>
    <w:p w14:paraId="3BDE5718" w14:textId="7E059A13" w:rsidR="005F0A11" w:rsidRPr="00371514" w:rsidRDefault="005F0A11" w:rsidP="00856FFA">
      <w:r w:rsidRPr="00371514">
        <w:t xml:space="preserve">All of the previous mentions of instances of </w:t>
      </w:r>
      <w:r w:rsidR="00B019F3" w:rsidRPr="00371514">
        <w:rPr>
          <w:i/>
          <w:iCs/>
        </w:rPr>
        <w:t xml:space="preserve">de </w:t>
      </w:r>
      <w:r w:rsidR="00B019F3" w:rsidRPr="00371514">
        <w:t xml:space="preserve">facto </w:t>
      </w:r>
      <w:r w:rsidRPr="00371514">
        <w:t xml:space="preserve">political influence over the </w:t>
      </w:r>
      <w:r w:rsidR="00AF47F3">
        <w:t>F</w:t>
      </w:r>
      <w:r w:rsidRPr="00371514">
        <w:t xml:space="preserve">ederal </w:t>
      </w:r>
      <w:r w:rsidR="00AF47F3">
        <w:t>R</w:t>
      </w:r>
      <w:r w:rsidRPr="00371514">
        <w:t>eserve’s monetary policy</w:t>
      </w:r>
      <w:r w:rsidR="00B019F3" w:rsidRPr="00371514">
        <w:t>, despite the legal framework which aims to guarantee the independence of the Fed,</w:t>
      </w:r>
      <w:r w:rsidRPr="00371514">
        <w:t xml:space="preserve"> significantly challenge the notion of </w:t>
      </w:r>
      <w:r w:rsidRPr="00371514">
        <w:rPr>
          <w:i/>
          <w:iCs/>
        </w:rPr>
        <w:t>de jure</w:t>
      </w:r>
      <w:r w:rsidRPr="00371514">
        <w:t xml:space="preserve"> central bank independence</w:t>
      </w:r>
      <w:r w:rsidR="0037691F" w:rsidRPr="00371514">
        <w:t xml:space="preserve"> consistent with the argument made by Cargill and O’Driscoll</w:t>
      </w:r>
      <w:r w:rsidRPr="00371514">
        <w:t>.</w:t>
      </w:r>
      <w:r w:rsidR="000036FF" w:rsidRPr="00371514">
        <w:t xml:space="preserve"> Those findings would imply that there is a quantitively observable political influence on the Fed’s monetary policy. </w:t>
      </w:r>
    </w:p>
    <w:p w14:paraId="5E8306C9" w14:textId="7960D8A7" w:rsidR="004A3FAD" w:rsidRPr="00371514" w:rsidRDefault="004A3FAD" w:rsidP="00856FFA">
      <w:r w:rsidRPr="00371514">
        <w:t xml:space="preserve">A part of the literature quantitatively </w:t>
      </w:r>
      <w:r w:rsidR="00565A9B" w:rsidRPr="00371514">
        <w:t xml:space="preserve">investigates the presence </w:t>
      </w:r>
      <w:r w:rsidRPr="00371514">
        <w:t>of political monetary cycles in the United States.</w:t>
      </w:r>
      <w:r w:rsidR="00A15BB8" w:rsidRPr="00371514">
        <w:t xml:space="preserve"> Allen in his 1986 paper </w:t>
      </w:r>
      <w:r w:rsidR="00565A9B" w:rsidRPr="00371514">
        <w:t>finds that his election variables aren’t statistically significant unless when looking at it in combination with quarter to quarter changes in debt.</w:t>
      </w:r>
      <w:r w:rsidR="00477123" w:rsidRPr="00371514">
        <w:t xml:space="preserve"> Overall, this paper shows very weak findings of political monetary cycle, and political influence on the Fed’s monetary policy at large (Allen 1986).</w:t>
      </w:r>
      <w:r w:rsidR="00D44AB8" w:rsidRPr="00371514">
        <w:t xml:space="preserve"> Nathaniel Beck regresses M1B money supply on electoral cycle dummies, fiscal policy and macroeconomic indicators and finds evidence of PMC, although he argues that it isn’t caused by the Fed, but rather is endogenous because it disappears when controlling for fiscal policy, suggesting that the Fed is </w:t>
      </w:r>
      <w:r w:rsidR="00D44AB8" w:rsidRPr="00371514">
        <w:lastRenderedPageBreak/>
        <w:t>actually accommodating fiscally-induced cycles rather than initiating them (Beck 1987).</w:t>
      </w:r>
      <w:r w:rsidR="000A46EA" w:rsidRPr="00371514">
        <w:t xml:space="preserve"> Grier </w:t>
      </w:r>
      <w:r w:rsidR="00D44AB8" w:rsidRPr="00371514">
        <w:t xml:space="preserve">in his 1989 paper argues the contrary. He </w:t>
      </w:r>
      <w:r w:rsidR="000A46EA" w:rsidRPr="00371514">
        <w:t>regresses M1 money growth on several macro-economic and political control variables and</w:t>
      </w:r>
      <w:r w:rsidR="00D44AB8" w:rsidRPr="00371514">
        <w:t xml:space="preserve"> </w:t>
      </w:r>
      <w:r w:rsidR="000A46EA" w:rsidRPr="00371514">
        <w:t>finds strong statistical evidence of a political monetary cycle, with a systematically easier monetary policy in the six quarters leading up to the elections</w:t>
      </w:r>
      <w:r w:rsidR="00D44AB8" w:rsidRPr="00371514">
        <w:t>, even after controlling for fiscal policy, income and interest rates</w:t>
      </w:r>
      <w:r w:rsidR="00E95D6F" w:rsidRPr="00371514">
        <w:t>. Grier rebukes Beck’s conclusion that the PMCs are caused by institutional constraints and the Fed’s passive posture and emphasizes the macroeconomic and political significance of empirical regularities in the Fed’s monetary policy</w:t>
      </w:r>
      <w:r w:rsidR="000A46EA" w:rsidRPr="00371514">
        <w:t xml:space="preserve"> (Grier 1989).</w:t>
      </w:r>
      <w:r w:rsidR="005527BB">
        <w:t xml:space="preserve"> </w:t>
      </w:r>
      <w:r w:rsidR="005527BB" w:rsidRPr="005527BB">
        <w:t>Havrilesky</w:t>
      </w:r>
      <w:r w:rsidR="005527BB">
        <w:t xml:space="preserve"> came up with an index to quantify the incumbent administration signaling their desired rates as a weekly sum of the times they’ve asked for higher (+1) or lower (-1) rates as reported in Wall Street Journal Articles, which is called the SAFER index, and which will be used in his 1991 and 1993 articles. He used this index to determine whether or not the Fed was sensitive to political signaling from the Fed and found evidence for it</w:t>
      </w:r>
      <w:r w:rsidR="00D613C7">
        <w:t xml:space="preserve"> </w:t>
      </w:r>
      <w:r w:rsidR="00D613C7" w:rsidRPr="00D613C7">
        <w:t>(Havrilesky 1991; 1994)</w:t>
      </w:r>
      <w:r w:rsidR="005527BB">
        <w:t>.</w:t>
      </w:r>
      <w:r w:rsidR="007117A9" w:rsidRPr="00371514">
        <w:t xml:space="preserve"> Carlsen argues that the extent to which incumbent administration influence monetary policy into being easier before elections is negatively correlated with their popularity. He </w:t>
      </w:r>
      <w:r w:rsidR="00520442" w:rsidRPr="00371514">
        <w:t xml:space="preserve">finds evidence of this </w:t>
      </w:r>
      <w:r w:rsidR="007117A9" w:rsidRPr="00371514">
        <w:t xml:space="preserve">position by regressing </w:t>
      </w:r>
      <w:r w:rsidR="00520442" w:rsidRPr="00371514">
        <w:t xml:space="preserve">quarterly </w:t>
      </w:r>
      <w:r w:rsidR="007117A9" w:rsidRPr="00371514">
        <w:t xml:space="preserve">M1 money </w:t>
      </w:r>
      <w:r w:rsidR="00520442" w:rsidRPr="00371514">
        <w:t xml:space="preserve">growth </w:t>
      </w:r>
      <w:r w:rsidR="007117A9" w:rsidRPr="00371514">
        <w:t>on election dummies and reelection probabilities (using Gallup’s data)</w:t>
      </w:r>
      <w:r w:rsidR="00520442" w:rsidRPr="00371514">
        <w:t xml:space="preserve"> (Carlsen 1997)</w:t>
      </w:r>
      <w:r w:rsidR="007117A9" w:rsidRPr="00371514">
        <w:t>.</w:t>
      </w:r>
      <w:r w:rsidR="00B8272D" w:rsidRPr="00371514">
        <w:t xml:space="preserve"> </w:t>
      </w:r>
      <w:r w:rsidR="00A61612" w:rsidRPr="00371514">
        <w:t>The findings of Abrams and Iossifov regarding PMCs are mixed. Although they do not find general PMC evidence by regressing the FFR on election dummies covering the seven quarters before elections, they do find strong evidence of partisan based PMCs, meaning that PMCs are likelier when the Fed chair and the incumbent administration are of the same party affiliation</w:t>
      </w:r>
      <w:r w:rsidR="00046573" w:rsidRPr="00371514">
        <w:t xml:space="preserve"> (Abrams and Iossifov 2006)</w:t>
      </w:r>
      <w:r w:rsidR="00A61612" w:rsidRPr="00371514">
        <w:t>.</w:t>
      </w:r>
      <w:r w:rsidR="00A253B0" w:rsidRPr="00371514">
        <w:t xml:space="preserve"> Abrams and Butkiewicz manage to find evidence  of political influence over the Fed’s monetary policy by synchronizing tape evidence of Nixon’s explicit attempts to pressure Arthur Burns and macroeconomic data. In particular, they find that money growth (M1 and M2) are indeed synchronized with Nixon’s threats (Abrams and Butkiewicz 2012).</w:t>
      </w:r>
      <w:r w:rsidR="00046573" w:rsidRPr="00371514">
        <w:t xml:space="preserve"> </w:t>
      </w:r>
      <w:r w:rsidR="00AA0726" w:rsidRPr="00371514">
        <w:t xml:space="preserve">Klose in their 2012 study investigate asymmetric Taylor’s rule deviations in OECD countries, including the US, and finds evidence that central banks are respond less aggressively to above target inflation and more aggressively to below target economic output in electoral contexts. These patterns are statistically significant but they vary with different time horizons (Klose 2012). These findings strongly suggest the presence of </w:t>
      </w:r>
      <w:r w:rsidR="000352BA" w:rsidRPr="00371514">
        <w:t>PMCs in the United states and are in direct contradiction with the findings of Alpanda and Honig (Alpanda and Honig 2009), who find little evidence of PMCs in advanced economies.</w:t>
      </w:r>
      <w:r w:rsidR="00F30ECC" w:rsidRPr="00371514">
        <w:t xml:space="preserve"> Funashima manages to find quantitative evidence</w:t>
      </w:r>
      <w:r w:rsidR="00110ACF" w:rsidRPr="00371514">
        <w:t xml:space="preserve"> of political monetary cycles using frequency domain analysis on a period going from January 1957 to December 2004</w:t>
      </w:r>
      <w:r w:rsidR="00355A6E" w:rsidRPr="00371514">
        <w:t>, in an effort to isolate cyclical components of the FFR, aligned with the fixed 4-year US presidential election cycle. It finds evidence of a</w:t>
      </w:r>
      <w:r w:rsidR="00681E06" w:rsidRPr="00371514">
        <w:t xml:space="preserve"> systemically</w:t>
      </w:r>
      <w:r w:rsidR="00355A6E" w:rsidRPr="00371514">
        <w:t xml:space="preserve"> easier </w:t>
      </w:r>
      <w:r w:rsidR="00681E06" w:rsidRPr="00371514">
        <w:t>monetary policy before elections (Funashima 2013).</w:t>
      </w:r>
    </w:p>
    <w:p w14:paraId="1FDD6AC7" w14:textId="7E97A27C" w:rsidR="00972211" w:rsidRPr="00371514" w:rsidRDefault="00B775FB" w:rsidP="00856FFA">
      <w:r w:rsidRPr="00371514">
        <w:t>A</w:t>
      </w:r>
      <w:r w:rsidR="00F70246" w:rsidRPr="00371514">
        <w:t xml:space="preserve"> common variable in the literature when investigating political influence over the Fed is looking if whether or not the different incumbent parties influence the monetary policy in different ways.</w:t>
      </w:r>
      <w:r w:rsidR="000036FF" w:rsidRPr="00371514">
        <w:t xml:space="preserve"> </w:t>
      </w:r>
      <w:r w:rsidR="00F70246" w:rsidRPr="00371514">
        <w:t>An attempt to model the consequences of the Republican/Democrat difference in monetary policy</w:t>
      </w:r>
      <w:r w:rsidR="000036FF" w:rsidRPr="00371514">
        <w:t xml:space="preserve"> is the </w:t>
      </w:r>
      <w:r w:rsidR="00BB4AFA" w:rsidRPr="00371514">
        <w:t>game theoretic model of</w:t>
      </w:r>
      <w:r w:rsidR="003B60FE" w:rsidRPr="00371514">
        <w:t xml:space="preserve"> Alesina in their 1987 study</w:t>
      </w:r>
      <w:r w:rsidR="00BB4AFA" w:rsidRPr="00371514">
        <w:t xml:space="preserve">, which develops a model </w:t>
      </w:r>
      <w:r w:rsidR="009F09B9" w:rsidRPr="00371514">
        <w:t>assum</w:t>
      </w:r>
      <w:r w:rsidR="00644CC8" w:rsidRPr="00371514">
        <w:t>ing</w:t>
      </w:r>
      <w:r w:rsidR="00BB4AFA" w:rsidRPr="00371514">
        <w:t xml:space="preserve"> </w:t>
      </w:r>
      <w:r w:rsidR="00552B91" w:rsidRPr="00371514">
        <w:t xml:space="preserve">the policy </w:t>
      </w:r>
      <w:r w:rsidR="00073AD4" w:rsidRPr="00371514">
        <w:t>goals of Democrats and Republicans</w:t>
      </w:r>
      <w:r w:rsidR="001444EB" w:rsidRPr="00371514">
        <w:t>. In particular, their model assumes</w:t>
      </w:r>
      <w:r w:rsidR="00073AD4" w:rsidRPr="00371514">
        <w:t xml:space="preserve"> that Democrats</w:t>
      </w:r>
      <w:r w:rsidR="001444EB" w:rsidRPr="00371514">
        <w:t xml:space="preserve"> are</w:t>
      </w:r>
      <w:r w:rsidR="00073AD4" w:rsidRPr="00371514">
        <w:t xml:space="preserve"> more keen to reduce unemployment and less keen to reduce inflation while Republicans </w:t>
      </w:r>
      <w:r w:rsidR="001444EB" w:rsidRPr="00371514">
        <w:t>are</w:t>
      </w:r>
      <w:r w:rsidR="00073AD4" w:rsidRPr="00371514">
        <w:t xml:space="preserve"> be more keen to reduce inflation and less keen to reduce </w:t>
      </w:r>
      <w:r w:rsidR="00073AD4" w:rsidRPr="00371514">
        <w:lastRenderedPageBreak/>
        <w:t>unemployment.</w:t>
      </w:r>
      <w:r w:rsidR="00EF52C2" w:rsidRPr="00371514">
        <w:t xml:space="preserve"> The point of this paper is to explain economic fluctuations by the ideological difference of the parties.</w:t>
      </w:r>
      <w:r w:rsidR="00D570B2" w:rsidRPr="00371514">
        <w:t xml:space="preserve"> However, its assumptions about the ideological objectives of each parties </w:t>
      </w:r>
      <w:r w:rsidR="00CE280E" w:rsidRPr="00371514">
        <w:t xml:space="preserve">are challenged by </w:t>
      </w:r>
      <w:r w:rsidR="00D570B2" w:rsidRPr="00371514">
        <w:t>later</w:t>
      </w:r>
      <w:r w:rsidR="00CE280E" w:rsidRPr="00371514">
        <w:t xml:space="preserve"> papers.</w:t>
      </w:r>
      <w:r w:rsidR="00D15406" w:rsidRPr="00371514">
        <w:t xml:space="preserve"> Havrilesky in their 1994 finds that Board of Governors appointees from democratic institutions favor easier money, and BOG appointees from supply side republicans also favor easier money, although for different reasons (growth via tax cuts).</w:t>
      </w:r>
      <w:r w:rsidR="00CE280E" w:rsidRPr="00371514">
        <w:t xml:space="preserve"> </w:t>
      </w:r>
      <w:r w:rsidR="00B421FB" w:rsidRPr="00371514">
        <w:t xml:space="preserve">These findings are somewhat corroborated by </w:t>
      </w:r>
      <w:r w:rsidR="00972211" w:rsidRPr="00371514">
        <w:t>Falaschetti in their 2002 paper find</w:t>
      </w:r>
      <w:r w:rsidR="00B421FB" w:rsidRPr="00371514">
        <w:t>ing</w:t>
      </w:r>
      <w:r w:rsidR="00972211" w:rsidRPr="00371514">
        <w:t xml:space="preserve"> that both Democrats and Republicans, when in majority in the FRB and the senate, generally advocate for a more extensive monetary policy, implying that institutional constraints and political strategy explain monetary policy better than ideological differences (Falaschetti 2002). This importance of political strategy in monetary policies </w:t>
      </w:r>
      <w:r w:rsidR="00F23523" w:rsidRPr="00371514">
        <w:t>would imply</w:t>
      </w:r>
      <w:r w:rsidR="00972211" w:rsidRPr="00371514">
        <w:t xml:space="preserve"> the existence of PMCs in the United States. Jones and Snyder in their 2014 paper find that each Fed chair has a unique reaction function, but those which worked under republicans, such as Volcker, Greenspan and Bernanke generally exhibited a stronger reaction towards the output gap and a weaker reaction towards inflation, implying that the Fed under republican administration is actually more keen on expansionary policy (Jones and Snyder 2014), thereby implying that Republicans don’t prefer restricti</w:t>
      </w:r>
      <w:r w:rsidR="0004256C" w:rsidRPr="00371514">
        <w:t>v</w:t>
      </w:r>
      <w:r w:rsidR="00972211" w:rsidRPr="00371514">
        <w:t>e monetary policy over expansionary policy, which itself implies that monetary policy is influenced by political considerations rather than purely economic ones</w:t>
      </w:r>
      <w:r w:rsidR="0004256C" w:rsidRPr="00371514">
        <w:t xml:space="preserve">. Overall, the literature finds weak or mixed evidence </w:t>
      </w:r>
      <w:r w:rsidR="00D60A8D" w:rsidRPr="00371514">
        <w:t>of democrats simply favoring an expansive monetary policy and republicans simply favoring a restrictive monetary policy, it rather implies that each party has a more complex approach to monetary policy, which is sometimes even rather similar</w:t>
      </w:r>
      <w:r w:rsidR="0004256C" w:rsidRPr="00371514">
        <w:t>.</w:t>
      </w:r>
    </w:p>
    <w:p w14:paraId="731839BA" w14:textId="79A2EE41" w:rsidR="00974E03" w:rsidRPr="00371514" w:rsidRDefault="00972211" w:rsidP="00856FFA">
      <w:r w:rsidRPr="00371514">
        <w:t xml:space="preserve">Another way of attempting to find partisan political monetary cycles is the method of </w:t>
      </w:r>
      <w:r w:rsidR="008A3B98" w:rsidRPr="00371514">
        <w:t>Gamber and Hakes</w:t>
      </w:r>
      <w:r w:rsidRPr="00371514">
        <w:t xml:space="preserve">, </w:t>
      </w:r>
      <w:r w:rsidR="00DD3AE6" w:rsidRPr="00371514">
        <w:t>which</w:t>
      </w:r>
      <w:r w:rsidR="0071138A" w:rsidRPr="00371514">
        <w:t xml:space="preserve"> investigates </w:t>
      </w:r>
      <w:r w:rsidR="007E2D39" w:rsidRPr="00371514">
        <w:t>w</w:t>
      </w:r>
      <w:r w:rsidR="0071138A" w:rsidRPr="00371514">
        <w:t xml:space="preserve">hether the Fed’s monetary policy is more </w:t>
      </w:r>
      <w:r w:rsidR="007E2D39" w:rsidRPr="00371514">
        <w:t>activist</w:t>
      </w:r>
      <w:r w:rsidR="00D63DA0" w:rsidRPr="00371514">
        <w:t xml:space="preserve"> (in response to aggregate shocks)</w:t>
      </w:r>
      <w:r w:rsidR="007E2D39" w:rsidRPr="00371514">
        <w:t xml:space="preserve"> </w:t>
      </w:r>
      <w:r w:rsidR="0071138A" w:rsidRPr="00371514">
        <w:t xml:space="preserve">before or after elections. They </w:t>
      </w:r>
      <w:r w:rsidR="008A3B98" w:rsidRPr="00371514">
        <w:t xml:space="preserve">find evidence </w:t>
      </w:r>
      <w:r w:rsidR="0071138A" w:rsidRPr="00371514">
        <w:t>of the Fed being</w:t>
      </w:r>
      <w:r w:rsidR="00314C35" w:rsidRPr="00371514">
        <w:t xml:space="preserve"> more activist pre-election when the incumbent administration is democrat</w:t>
      </w:r>
      <w:r w:rsidR="008A3B98" w:rsidRPr="00371514">
        <w:t>.</w:t>
      </w:r>
      <w:r w:rsidR="00CE280E" w:rsidRPr="00371514">
        <w:t xml:space="preserve"> T</w:t>
      </w:r>
      <w:r w:rsidR="00314C35" w:rsidRPr="00371514">
        <w:t xml:space="preserve">hey are </w:t>
      </w:r>
      <w:r w:rsidR="00CE280E" w:rsidRPr="00371514">
        <w:t>cautious to note that their results do not indicate that democrats are systemically leading to the adoption of more expansionary monetary policy, but rather that they are systemically more countercyclically activist.</w:t>
      </w:r>
      <w:r w:rsidR="0071138A" w:rsidRPr="00371514">
        <w:t xml:space="preserve"> They also find that</w:t>
      </w:r>
      <w:r w:rsidR="0047764E" w:rsidRPr="00371514">
        <w:t>,</w:t>
      </w:r>
      <w:r w:rsidR="0071138A" w:rsidRPr="00371514">
        <w:t xml:space="preserve"> in general, Republicans and Democrats are activists in response to aggregate shocks at different times; Democrats are more active before elections while Republicans are more active after elections. This paper clearly highlights evidence that the Fed’s monetary policy is shaped in response to the elections, either in anticipation, or in fallout (Gamber and Hakes 1997).</w:t>
      </w:r>
    </w:p>
    <w:p w14:paraId="7A9B2D98" w14:textId="77777777" w:rsidR="00974E03" w:rsidRPr="00371514" w:rsidRDefault="00974E03">
      <w:r w:rsidRPr="00371514">
        <w:br w:type="page"/>
      </w:r>
    </w:p>
    <w:p w14:paraId="50F768C9" w14:textId="26C42DCF" w:rsidR="00C43AB8" w:rsidRPr="00371514" w:rsidRDefault="00C43AB8" w:rsidP="00986B76">
      <w:pPr>
        <w:pStyle w:val="Heading1"/>
        <w:rPr>
          <w:lang w:val="en-US"/>
        </w:rPr>
      </w:pPr>
      <w:bookmarkStart w:id="3" w:name="_Toc208240148"/>
      <w:r w:rsidRPr="00371514">
        <w:rPr>
          <w:lang w:val="en-US"/>
        </w:rPr>
        <w:lastRenderedPageBreak/>
        <w:t>Q</w:t>
      </w:r>
      <w:r w:rsidR="005E4A1B" w:rsidRPr="00371514">
        <w:rPr>
          <w:lang w:val="en-US"/>
        </w:rPr>
        <w:t>uantitative Analysis</w:t>
      </w:r>
      <w:bookmarkEnd w:id="3"/>
    </w:p>
    <w:p w14:paraId="4E080F44" w14:textId="705F2C4B" w:rsidR="00A37AB0" w:rsidRPr="00371514" w:rsidRDefault="00A37AB0" w:rsidP="00856FFA">
      <w:r w:rsidRPr="00371514">
        <w:t>This study investigates the political influence on the Federal Reserve’s monetary policy through an empirical methodology using macroeconomic and political. In order to do so, it assess the extent to which the Fed’s monetary policy during the ten months preceding the elections</w:t>
      </w:r>
      <w:r w:rsidR="00E74B9B" w:rsidRPr="00371514">
        <w:t xml:space="preserve"> differs from that taking place normally. As such, any deviations from the usual monetary policy during that specific period would suggest that the monetary policy of the fed is influenced by the upcoming elections. Whether that influence is political pressure from the incumbent administration or from elsewhere is to be determined.</w:t>
      </w:r>
      <w:r w:rsidRPr="00371514">
        <w:t xml:space="preserve"> </w:t>
      </w:r>
      <w:r w:rsidR="00E74B9B" w:rsidRPr="00371514">
        <w:t>This paper thus regresses</w:t>
      </w:r>
      <w:r w:rsidR="00220A64" w:rsidRPr="00371514">
        <w:t xml:space="preserve"> gap the relevant macroeconomic tool mainly used by the Fed under the different operating regimes it went through on</w:t>
      </w:r>
      <w:r w:rsidR="00E74B9B" w:rsidRPr="00371514">
        <w:t xml:space="preserve"> political variables such </w:t>
      </w:r>
      <w:r w:rsidRPr="00371514">
        <w:t xml:space="preserve">as presidential disapproval, proximity to elections, and </w:t>
      </w:r>
      <w:r w:rsidR="00E74B9B" w:rsidRPr="00371514">
        <w:t>whether or not the incumbent administration is running for reelection (which will be referred to in this paper as “administrative continuity”) as well as macroeconomic variables such as inflation gap or output</w:t>
      </w:r>
      <w:r w:rsidRPr="00371514">
        <w:t xml:space="preserve">. </w:t>
      </w:r>
    </w:p>
    <w:p w14:paraId="263E7946" w14:textId="10D4BA6E" w:rsidR="00A37AB0" w:rsidRPr="00371514" w:rsidRDefault="00383A74" w:rsidP="00856FFA">
      <w:r w:rsidRPr="00371514">
        <w:t>This paper is thus</w:t>
      </w:r>
      <w:r w:rsidR="00A37AB0" w:rsidRPr="00371514">
        <w:t xml:space="preserve"> splitting monetary policy into three </w:t>
      </w:r>
      <w:r w:rsidR="002C2EE2" w:rsidRPr="00371514">
        <w:t>periods</w:t>
      </w:r>
      <w:r w:rsidR="00A37AB0" w:rsidRPr="00371514">
        <w:t xml:space="preserve"> (</w:t>
      </w:r>
      <w:r w:rsidR="002C2EE2" w:rsidRPr="00371514">
        <w:t>the 1950</w:t>
      </w:r>
      <w:r w:rsidR="00A37AB0" w:rsidRPr="00371514">
        <w:t>-1979</w:t>
      </w:r>
      <w:r w:rsidR="002C2EE2" w:rsidRPr="00371514">
        <w:t xml:space="preserve"> period (also referred to as the pre-1979 period for simplicity)</w:t>
      </w:r>
      <w:r w:rsidR="00A37AB0" w:rsidRPr="00371514">
        <w:t>,</w:t>
      </w:r>
      <w:r w:rsidR="002C2EE2" w:rsidRPr="00371514">
        <w:t xml:space="preserve"> the</w:t>
      </w:r>
      <w:r w:rsidR="00A37AB0" w:rsidRPr="00371514">
        <w:t xml:space="preserve"> 19</w:t>
      </w:r>
      <w:r w:rsidR="00CC1EB2" w:rsidRPr="00371514">
        <w:t>79</w:t>
      </w:r>
      <w:r w:rsidR="00A37AB0" w:rsidRPr="00371514">
        <w:t>–2008</w:t>
      </w:r>
      <w:r w:rsidR="002C2EE2" w:rsidRPr="00371514">
        <w:t xml:space="preserve"> period, and the</w:t>
      </w:r>
      <w:r w:rsidR="00A37AB0" w:rsidRPr="00371514">
        <w:t xml:space="preserve"> post-2008</w:t>
      </w:r>
      <w:r w:rsidR="002C2EE2" w:rsidRPr="00371514">
        <w:t xml:space="preserve"> period</w:t>
      </w:r>
      <w:r w:rsidR="00A37AB0" w:rsidRPr="00371514">
        <w:t xml:space="preserve">), </w:t>
      </w:r>
      <w:r w:rsidR="002C2EE2" w:rsidRPr="00371514">
        <w:t>which correspond</w:t>
      </w:r>
      <w:r w:rsidR="00A37AB0" w:rsidRPr="00371514">
        <w:t xml:space="preserve"> with significant institutional and operational transformations within the Fed</w:t>
      </w:r>
      <w:r w:rsidR="002C2EE2" w:rsidRPr="00371514">
        <w:t>; they represent three different operating regimes which use different macroeconomic tools for monetary policy</w:t>
      </w:r>
      <w:r w:rsidR="00A37AB0" w:rsidRPr="00371514">
        <w:t xml:space="preserve">. In doing so, </w:t>
      </w:r>
      <w:r w:rsidR="002C2EE2" w:rsidRPr="00371514">
        <w:t>this paper</w:t>
      </w:r>
      <w:r w:rsidR="00A37AB0" w:rsidRPr="00371514">
        <w:t xml:space="preserve"> builds on a rich literature that has </w:t>
      </w:r>
      <w:r w:rsidR="002C2EE2" w:rsidRPr="00371514">
        <w:t>investigated</w:t>
      </w:r>
      <w:r w:rsidR="00A37AB0" w:rsidRPr="00371514">
        <w:t xml:space="preserve"> the </w:t>
      </w:r>
      <w:r w:rsidR="002C2EE2" w:rsidRPr="00371514">
        <w:t xml:space="preserve">veracity of the </w:t>
      </w:r>
      <w:r w:rsidR="00A37AB0" w:rsidRPr="00371514">
        <w:t>political business cycle hypothesis</w:t>
      </w:r>
      <w:r w:rsidR="002C2EE2" w:rsidRPr="00371514">
        <w:t>/political monetary cycle hypothesis</w:t>
      </w:r>
      <w:r w:rsidR="00A37AB0" w:rsidRPr="00371514">
        <w:t xml:space="preserve"> (Alesina 1987; Beck 1987; Grier 1989) and the evolving relationship between politic</w:t>
      </w:r>
      <w:r w:rsidR="002C2EE2" w:rsidRPr="00371514">
        <w:t>al institutions</w:t>
      </w:r>
      <w:r w:rsidR="00A37AB0" w:rsidRPr="00371514">
        <w:t xml:space="preserve"> and</w:t>
      </w:r>
      <w:r w:rsidR="002C2EE2" w:rsidRPr="00371514">
        <w:t xml:space="preserve"> the</w:t>
      </w:r>
      <w:r w:rsidR="00A37AB0" w:rsidRPr="00371514">
        <w:t xml:space="preserve"> monetary policy </w:t>
      </w:r>
      <w:r w:rsidR="002C2EE2" w:rsidRPr="00371514">
        <w:t xml:space="preserve">institutions </w:t>
      </w:r>
      <w:r w:rsidR="00A37AB0" w:rsidRPr="00371514">
        <w:t>(Binder 2016; Cargill and O'Driscoll 2013).</w:t>
      </w:r>
    </w:p>
    <w:p w14:paraId="45BF368A" w14:textId="77777777" w:rsidR="00A37AB0" w:rsidRPr="00371514" w:rsidRDefault="00A37AB0" w:rsidP="00856FFA">
      <w:pPr>
        <w:pStyle w:val="Heading2"/>
        <w:rPr>
          <w:color w:val="auto"/>
        </w:rPr>
      </w:pPr>
      <w:bookmarkStart w:id="4" w:name="_Toc208240149"/>
      <w:r w:rsidRPr="00371514">
        <w:rPr>
          <w:color w:val="auto"/>
        </w:rPr>
        <w:t>Methodology and Justification</w:t>
      </w:r>
      <w:bookmarkEnd w:id="4"/>
    </w:p>
    <w:p w14:paraId="7C47D64A" w14:textId="12900EA7" w:rsidR="00EC326D" w:rsidRPr="00371514" w:rsidRDefault="00EC326D" w:rsidP="00856FFA">
      <w:r w:rsidRPr="00371514">
        <w:t>This section will first explain where the used data comes from, then it will explain the reasoning behind the choice of distinguishing the fed timeline into the three different operating regimes</w:t>
      </w:r>
      <w:r w:rsidR="00600FFD" w:rsidRPr="00371514">
        <w:t>,</w:t>
      </w:r>
      <w:r w:rsidRPr="00371514">
        <w:t xml:space="preserve"> </w:t>
      </w:r>
      <w:r w:rsidR="00600FFD" w:rsidRPr="00371514">
        <w:t xml:space="preserve">it will </w:t>
      </w:r>
      <w:r w:rsidRPr="00371514">
        <w:t>also justify</w:t>
      </w:r>
      <w:r w:rsidR="00600FFD" w:rsidRPr="00371514">
        <w:t xml:space="preserve"> </w:t>
      </w:r>
      <w:r w:rsidRPr="00371514">
        <w:t>the choice of the dependent variables</w:t>
      </w:r>
      <w:r w:rsidR="00600FFD" w:rsidRPr="00371514">
        <w:t xml:space="preserve"> before describing them in the next section</w:t>
      </w:r>
      <w:r w:rsidRPr="00371514">
        <w:t>, then it will describe the independent variable in detail, first describing the macro-economic ones, then the political ones, along with the detailed justification of their use</w:t>
      </w:r>
      <w:r w:rsidR="00600FFD" w:rsidRPr="00371514">
        <w:t xml:space="preserve">. </w:t>
      </w:r>
      <w:r w:rsidRPr="00371514">
        <w:t>Once all the variables and their data described, it will go on to explain the different models.</w:t>
      </w:r>
    </w:p>
    <w:p w14:paraId="2F13D79E" w14:textId="49E6773D" w:rsidR="008E25B6" w:rsidRPr="00371514" w:rsidRDefault="008E25B6" w:rsidP="00986B76">
      <w:pPr>
        <w:pStyle w:val="Heading3"/>
        <w:rPr>
          <w:color w:val="auto"/>
        </w:rPr>
      </w:pPr>
      <w:bookmarkStart w:id="5" w:name="_Toc208240150"/>
      <w:r w:rsidRPr="00371514">
        <w:rPr>
          <w:color w:val="auto"/>
        </w:rPr>
        <w:t>Data Origins</w:t>
      </w:r>
      <w:bookmarkEnd w:id="5"/>
    </w:p>
    <w:p w14:paraId="08083C2B" w14:textId="2934ADD7" w:rsidR="00E25D28" w:rsidRPr="00371514" w:rsidRDefault="00EB0C60" w:rsidP="00856FFA">
      <w:r w:rsidRPr="00371514">
        <w:t>The data used in the quantitative analysis of this paper consists of</w:t>
      </w:r>
      <w:r w:rsidR="00A37AB0" w:rsidRPr="00371514">
        <w:t xml:space="preserve"> </w:t>
      </w:r>
      <w:r w:rsidR="002C2EE2" w:rsidRPr="00371514">
        <w:t>the</w:t>
      </w:r>
      <w:r w:rsidR="00E25D28" w:rsidRPr="00371514">
        <w:t xml:space="preserve"> macroeconomic data</w:t>
      </w:r>
      <w:r w:rsidR="002C2EE2" w:rsidRPr="00371514">
        <w:t xml:space="preserve"> publicly available</w:t>
      </w:r>
      <w:r w:rsidR="00E25D28" w:rsidRPr="00371514">
        <w:t xml:space="preserve"> via the</w:t>
      </w:r>
      <w:r w:rsidR="002C2EE2" w:rsidRPr="00371514">
        <w:t xml:space="preserve"> </w:t>
      </w:r>
      <w:r w:rsidR="00A37AB0" w:rsidRPr="00371514">
        <w:t>Federal Reserve Economic Data (FRED) series</w:t>
      </w:r>
      <w:r w:rsidR="008E25B6" w:rsidRPr="00371514">
        <w:t>,</w:t>
      </w:r>
      <w:r w:rsidRPr="00371514">
        <w:t xml:space="preserve"> publicly known facts about presidential elections (proximity to elections and administrative continuity) </w:t>
      </w:r>
      <w:r w:rsidR="00E25D28" w:rsidRPr="00371514">
        <w:t>and presidential disapproval rates</w:t>
      </w:r>
      <w:r w:rsidRPr="00371514">
        <w:t xml:space="preserve"> extracted from </w:t>
      </w:r>
      <w:r w:rsidR="008E25B6" w:rsidRPr="00371514">
        <w:t>the analytics firm “</w:t>
      </w:r>
      <w:r w:rsidRPr="00371514">
        <w:t>Gallup</w:t>
      </w:r>
      <w:r w:rsidR="008E25B6" w:rsidRPr="00371514">
        <w:t xml:space="preserve">” (which is the only </w:t>
      </w:r>
      <w:r w:rsidR="00EC326D" w:rsidRPr="00371514">
        <w:t>source</w:t>
      </w:r>
      <w:r w:rsidR="008E25B6" w:rsidRPr="00371514">
        <w:t xml:space="preserve"> which has presidential opinion polls with the same question that goes all the way back to</w:t>
      </w:r>
      <w:r w:rsidR="00EC326D" w:rsidRPr="00371514">
        <w:t xml:space="preserve"> the beginning of scientific opinion polling)</w:t>
      </w:r>
      <w:r w:rsidR="00E25D28" w:rsidRPr="00371514">
        <w:t>.</w:t>
      </w:r>
    </w:p>
    <w:p w14:paraId="298A7296" w14:textId="379DF630" w:rsidR="00E110F7" w:rsidRPr="00371514" w:rsidRDefault="00E110F7" w:rsidP="00986B76">
      <w:pPr>
        <w:pStyle w:val="Heading3"/>
        <w:rPr>
          <w:color w:val="auto"/>
        </w:rPr>
      </w:pPr>
      <w:bookmarkStart w:id="6" w:name="_Toc208240151"/>
      <w:r w:rsidRPr="00371514">
        <w:rPr>
          <w:color w:val="auto"/>
        </w:rPr>
        <w:lastRenderedPageBreak/>
        <w:t>Periods</w:t>
      </w:r>
      <w:r w:rsidR="008E25B6" w:rsidRPr="00371514">
        <w:rPr>
          <w:color w:val="auto"/>
        </w:rPr>
        <w:t xml:space="preserve"> &amp; Dependent Variables</w:t>
      </w:r>
      <w:r w:rsidRPr="00371514">
        <w:rPr>
          <w:color w:val="auto"/>
        </w:rPr>
        <w:t xml:space="preserve"> Justification</w:t>
      </w:r>
      <w:bookmarkEnd w:id="6"/>
    </w:p>
    <w:p w14:paraId="6CC20053" w14:textId="65D55261" w:rsidR="00E110F7" w:rsidRPr="00371514" w:rsidRDefault="00E110F7" w:rsidP="00856FFA">
      <w:r w:rsidRPr="00371514">
        <w:t>This paper distinguishes the three operating periods because of their stark differences in monetary policy approaches, which are described below.</w:t>
      </w:r>
    </w:p>
    <w:p w14:paraId="41584003" w14:textId="49425C07" w:rsidR="00EB0C60" w:rsidRPr="00371514" w:rsidRDefault="00EB0C60" w:rsidP="00856FFA">
      <w:r w:rsidRPr="00371514">
        <w:rPr>
          <w:b/>
          <w:bCs/>
        </w:rPr>
        <w:t>Pre-1979</w:t>
      </w:r>
      <w:r w:rsidRPr="00371514">
        <w:t xml:space="preserve">: This period </w:t>
      </w:r>
      <w:r w:rsidR="003001F7" w:rsidRPr="00371514">
        <w:t xml:space="preserve">is made to match the </w:t>
      </w:r>
      <w:r w:rsidR="00AF47F3">
        <w:t>F</w:t>
      </w:r>
      <w:r w:rsidR="00403A7A" w:rsidRPr="00371514">
        <w:t xml:space="preserve">ederal </w:t>
      </w:r>
      <w:r w:rsidR="00AF47F3">
        <w:t>R</w:t>
      </w:r>
      <w:r w:rsidR="00403A7A" w:rsidRPr="00371514">
        <w:t xml:space="preserve">eserve </w:t>
      </w:r>
      <w:r w:rsidR="003001F7" w:rsidRPr="00371514">
        <w:t xml:space="preserve">operating regime </w:t>
      </w:r>
      <w:r w:rsidRPr="00371514">
        <w:t>go</w:t>
      </w:r>
      <w:r w:rsidR="003001F7" w:rsidRPr="00371514">
        <w:t>ing</w:t>
      </w:r>
      <w:r w:rsidRPr="00371514">
        <w:t xml:space="preserve"> from </w:t>
      </w:r>
      <w:r w:rsidR="00FA100E" w:rsidRPr="00371514">
        <w:t>March 4</w:t>
      </w:r>
      <w:r w:rsidR="00FA100E" w:rsidRPr="00371514">
        <w:rPr>
          <w:vertAlign w:val="superscript"/>
        </w:rPr>
        <w:t>th</w:t>
      </w:r>
      <w:r w:rsidR="00FA100E" w:rsidRPr="00371514">
        <w:t xml:space="preserve"> </w:t>
      </w:r>
      <w:r w:rsidRPr="00371514">
        <w:t>195</w:t>
      </w:r>
      <w:r w:rsidR="003001F7" w:rsidRPr="00371514">
        <w:t>1</w:t>
      </w:r>
      <w:r w:rsidR="00FA100E" w:rsidRPr="00371514">
        <w:t xml:space="preserve"> to October 6</w:t>
      </w:r>
      <w:r w:rsidR="00FA100E" w:rsidRPr="00371514">
        <w:rPr>
          <w:vertAlign w:val="superscript"/>
        </w:rPr>
        <w:t>th</w:t>
      </w:r>
      <w:r w:rsidR="00FA100E" w:rsidRPr="00371514">
        <w:t xml:space="preserve"> 1979</w:t>
      </w:r>
      <w:r w:rsidR="00855C71" w:rsidRPr="00371514">
        <w:t xml:space="preserve"> and</w:t>
      </w:r>
      <w:r w:rsidR="00151FA2" w:rsidRPr="00371514">
        <w:t xml:space="preserve"> is hereinafter referred to as “pre-1979” for convenience. </w:t>
      </w:r>
      <w:r w:rsidR="00FA100E" w:rsidRPr="00371514">
        <w:t xml:space="preserve">This operating regime era started with the </w:t>
      </w:r>
      <w:r w:rsidR="007524EA" w:rsidRPr="00371514">
        <w:t xml:space="preserve">1951 </w:t>
      </w:r>
      <w:r w:rsidR="00FA100E" w:rsidRPr="00371514">
        <w:t>treasury-Fed accord, granting the Fed more independence in setting the interest rate</w:t>
      </w:r>
      <w:r w:rsidR="007524EA" w:rsidRPr="00371514">
        <w:t>, leading to a policy of discretionary rate smoothing</w:t>
      </w:r>
      <w:r w:rsidR="00FA100E" w:rsidRPr="00371514">
        <w:t>.</w:t>
      </w:r>
      <w:r w:rsidR="00403A7A" w:rsidRPr="00371514">
        <w:t xml:space="preserve"> This period is generally characterized by a discretionary approach to monetary policy, meaning that the </w:t>
      </w:r>
      <w:r w:rsidR="00AF47F3">
        <w:t>F</w:t>
      </w:r>
      <w:r w:rsidR="00403A7A" w:rsidRPr="00371514">
        <w:t xml:space="preserve">ederal </w:t>
      </w:r>
      <w:r w:rsidR="00AF47F3">
        <w:t>R</w:t>
      </w:r>
      <w:r w:rsidR="00403A7A" w:rsidRPr="00371514">
        <w:t xml:space="preserve">eserve did not follow any particular higher principle to make decisions on the kind of monetary policy to follow, unlike later periods, and its objective was to generally maintain high employment. The </w:t>
      </w:r>
      <w:r w:rsidR="00AF47F3">
        <w:t>F</w:t>
      </w:r>
      <w:r w:rsidR="00403A7A" w:rsidRPr="00371514">
        <w:t xml:space="preserve">ederal </w:t>
      </w:r>
      <w:r w:rsidR="00AF47F3">
        <w:t>R</w:t>
      </w:r>
      <w:r w:rsidR="00403A7A" w:rsidRPr="00371514">
        <w:t xml:space="preserve">eserve of this period is more flexible than at other times, but this can also lead to lower predictability. What granted the fed its flexibility is its reliance on </w:t>
      </w:r>
      <w:r w:rsidR="00403A7A" w:rsidRPr="00371514">
        <w:rPr>
          <w:i/>
          <w:iCs/>
        </w:rPr>
        <w:t>interest rate targeting</w:t>
      </w:r>
      <w:r w:rsidR="00403A7A" w:rsidRPr="00371514">
        <w:t xml:space="preserve">, which means that it set a target range for a key short-term interest rate (usually the federal funds rate) to influence output, inflation or unemployment. As such, the federal funds rate (FFR) is identified as the main macro-economic tool of the Fed during the pre-1979 operating regime. The FFR is a very popular indicator in the literature to look at variations in the fed’s monetary policy </w:t>
      </w:r>
      <w:r w:rsidR="001F2280" w:rsidRPr="00371514">
        <w:t>(Grier 1989; Abrams and Iossifov 2006; Weise 2012; Romer and Romer 2004; Allen 1986)</w:t>
      </w:r>
      <w:r w:rsidR="00403A7A" w:rsidRPr="00371514">
        <w:t>. This is why, consistent both with the theoretical grounds of the paper and with that of the academic literature investigating the presence of PMCs in the US, this paper will use the FFR as a proxy for the macro-economic policy of the fed in the pre-1979 pe</w:t>
      </w:r>
      <w:r w:rsidR="0039459E" w:rsidRPr="00371514">
        <w:t>r</w:t>
      </w:r>
      <w:r w:rsidR="00403A7A" w:rsidRPr="00371514">
        <w:t xml:space="preserve">iod. This period culminated in very high inflation, highlighting monetary policy outdatedness, arguably worsened by very clear political influence on the monetary policy by the incumbent Nixon administration </w:t>
      </w:r>
      <w:r w:rsidR="00EF6594" w:rsidRPr="00371514">
        <w:t>(Abrams 2006; Abrams and Butkiewicz 2012; Weise 2012; Woolley 1985; Cargill and O’Driscoll 2013; Romer and Romer 2004)</w:t>
      </w:r>
      <w:r w:rsidR="00403A7A" w:rsidRPr="00371514">
        <w:t xml:space="preserve">, paving the way for the next operating regime. As such, this operating regime </w:t>
      </w:r>
      <w:r w:rsidR="00660557" w:rsidRPr="00371514">
        <w:t>ended i</w:t>
      </w:r>
      <w:r w:rsidR="00FA100E" w:rsidRPr="00371514">
        <w:t>n</w:t>
      </w:r>
      <w:r w:rsidR="003001F7" w:rsidRPr="00371514">
        <w:t xml:space="preserve"> October </w:t>
      </w:r>
      <w:r w:rsidR="00CF13D9" w:rsidRPr="00371514">
        <w:t>6</w:t>
      </w:r>
      <w:r w:rsidR="003001F7" w:rsidRPr="00371514">
        <w:rPr>
          <w:vertAlign w:val="superscript"/>
        </w:rPr>
        <w:t>th</w:t>
      </w:r>
      <w:r w:rsidR="00FA100E" w:rsidRPr="00371514">
        <w:t xml:space="preserve"> 1979</w:t>
      </w:r>
      <w:r w:rsidR="00660557" w:rsidRPr="00371514">
        <w:t>, when</w:t>
      </w:r>
      <w:r w:rsidR="00CF13D9" w:rsidRPr="00371514">
        <w:t xml:space="preserve"> Paul Volcker (chair of the Fed at the time) explicitly told the press the Fed would shift its focus to controlling inflation</w:t>
      </w:r>
      <w:r w:rsidR="00403A7A" w:rsidRPr="00371514">
        <w:t>.</w:t>
      </w:r>
    </w:p>
    <w:p w14:paraId="2968B324" w14:textId="4BDC1B1F" w:rsidR="00790526" w:rsidRPr="00371514" w:rsidRDefault="00790526" w:rsidP="00856FFA">
      <w:r w:rsidRPr="00371514">
        <w:t>In the regressions, this period starts on July 1</w:t>
      </w:r>
      <w:r w:rsidRPr="00371514">
        <w:rPr>
          <w:vertAlign w:val="superscript"/>
        </w:rPr>
        <w:t>st</w:t>
      </w:r>
      <w:r w:rsidRPr="00371514">
        <w:t xml:space="preserve"> 1954, simply because this is the earliest time when the FEDFUNDS data was available.</w:t>
      </w:r>
      <w:r w:rsidR="001672B0" w:rsidRPr="00371514">
        <w:t xml:space="preserve"> Similarly, because the data used is that of the first day of every months, this period in the regressions ends on October 1</w:t>
      </w:r>
      <w:r w:rsidR="001672B0" w:rsidRPr="00371514">
        <w:rPr>
          <w:vertAlign w:val="superscript"/>
        </w:rPr>
        <w:t>st</w:t>
      </w:r>
      <w:r w:rsidR="001672B0" w:rsidRPr="00371514">
        <w:t xml:space="preserve"> 1979 instead of October 6</w:t>
      </w:r>
      <w:r w:rsidR="001672B0" w:rsidRPr="00371514">
        <w:rPr>
          <w:vertAlign w:val="superscript"/>
        </w:rPr>
        <w:t>th</w:t>
      </w:r>
      <w:r w:rsidR="001672B0" w:rsidRPr="00371514">
        <w:t>.</w:t>
      </w:r>
      <w:r w:rsidRPr="00371514">
        <w:t xml:space="preserve"> As such, this period in the regressions span from July 1</w:t>
      </w:r>
      <w:r w:rsidRPr="00371514">
        <w:rPr>
          <w:vertAlign w:val="superscript"/>
        </w:rPr>
        <w:t>st</w:t>
      </w:r>
      <w:r w:rsidRPr="00371514">
        <w:t xml:space="preserve"> 1954 to </w:t>
      </w:r>
      <w:r w:rsidR="00F54D03" w:rsidRPr="00371514">
        <w:t>October</w:t>
      </w:r>
      <w:r w:rsidRPr="00371514">
        <w:t xml:space="preserve"> 1</w:t>
      </w:r>
      <w:r w:rsidRPr="00371514">
        <w:rPr>
          <w:vertAlign w:val="superscript"/>
        </w:rPr>
        <w:t>st</w:t>
      </w:r>
      <w:r w:rsidRPr="00371514">
        <w:t xml:space="preserve"> 1979</w:t>
      </w:r>
      <w:r w:rsidR="001672B0" w:rsidRPr="00371514">
        <w:t>.</w:t>
      </w:r>
    </w:p>
    <w:p w14:paraId="719C7FBD" w14:textId="494B25C6" w:rsidR="00EB0C60" w:rsidRPr="00371514" w:rsidRDefault="00EB0C60" w:rsidP="00856FFA">
      <w:r w:rsidRPr="00371514">
        <w:rPr>
          <w:b/>
          <w:bCs/>
        </w:rPr>
        <w:t>19</w:t>
      </w:r>
      <w:r w:rsidR="00CC1EB2" w:rsidRPr="00371514">
        <w:rPr>
          <w:b/>
          <w:bCs/>
        </w:rPr>
        <w:t>79</w:t>
      </w:r>
      <w:r w:rsidRPr="00371514">
        <w:rPr>
          <w:b/>
          <w:bCs/>
        </w:rPr>
        <w:t>–2008</w:t>
      </w:r>
      <w:r w:rsidRPr="00371514">
        <w:t xml:space="preserve">: </w:t>
      </w:r>
      <w:r w:rsidR="00B35776" w:rsidRPr="00371514">
        <w:t>As mentioned previously, t</w:t>
      </w:r>
      <w:r w:rsidRPr="00371514">
        <w:t>his period</w:t>
      </w:r>
      <w:r w:rsidR="00B35776" w:rsidRPr="00371514">
        <w:t xml:space="preserve"> (starting on October 6</w:t>
      </w:r>
      <w:r w:rsidR="00B35776" w:rsidRPr="00371514">
        <w:rPr>
          <w:vertAlign w:val="superscript"/>
        </w:rPr>
        <w:t>th</w:t>
      </w:r>
      <w:r w:rsidR="00B35776" w:rsidRPr="00371514">
        <w:t>)</w:t>
      </w:r>
      <w:r w:rsidRPr="00371514">
        <w:t xml:space="preserve"> is marked by a clear shift in monetary policy philosophy, executed by the new fed chair: Paul Volcker.</w:t>
      </w:r>
      <w:r w:rsidR="00D13D51" w:rsidRPr="00371514">
        <w:t xml:space="preserve"> This shift is widely observed in the literature and constitute an uncontroversial scholarly consensus that it marks the start of a new operating regime (Cargill and O’Driscoll 2013; Romer and Romer 2004; Weise 2012).</w:t>
      </w:r>
      <w:r w:rsidRPr="00371514">
        <w:t xml:space="preserve"> While the main tool of the fed before that shift used to be, as was previously mentioned, interest rate targeting for decades, the new immediate focus of the fed was on tightening the M1 money supply, which it did from 1979 to 1982, with the tradeoff of very unpredictable federal funds rate. The policy was so tight that by 1982, M1 fell below target, signaling overkill, and Volcker ended up giving up M1 to return to FFR. But the use of FFR in the post-1979 era had very little to do with its use pre-1979; while the pre-1979 </w:t>
      </w:r>
      <w:r w:rsidRPr="00371514">
        <w:lastRenderedPageBreak/>
        <w:t xml:space="preserve">operating regime used FFR in a discretionary way, the post-1979 operating regime did so with fundamentally different objectives, discipline and macroeconomic context. In fact, the </w:t>
      </w:r>
      <w:r w:rsidR="003D447A" w:rsidRPr="00371514">
        <w:t>goals</w:t>
      </w:r>
      <w:r w:rsidRPr="00371514">
        <w:t xml:space="preserve"> of the fed post-1979 was to maintain price stability first</w:t>
      </w:r>
      <w:r w:rsidR="00B35776" w:rsidRPr="00371514">
        <w:t xml:space="preserve"> </w:t>
      </w:r>
      <w:r w:rsidR="00566F97" w:rsidRPr="00371514">
        <w:t>(Weise 2012; Romer and Romer 2004; Cargill and O’Driscoll 2013)</w:t>
      </w:r>
      <w:r w:rsidRPr="00371514">
        <w:t>,</w:t>
      </w:r>
      <w:r w:rsidR="00B35776" w:rsidRPr="00371514">
        <w:t xml:space="preserve"> </w:t>
      </w:r>
      <w:r w:rsidR="003D447A" w:rsidRPr="00371514">
        <w:t xml:space="preserve">to more strongly manage </w:t>
      </w:r>
      <w:r w:rsidRPr="00371514">
        <w:t>inflation</w:t>
      </w:r>
      <w:r w:rsidR="00566F97" w:rsidRPr="00371514">
        <w:t xml:space="preserve"> </w:t>
      </w:r>
      <w:r w:rsidRPr="00371514">
        <w:t xml:space="preserve">and </w:t>
      </w:r>
      <w:r w:rsidR="003D447A" w:rsidRPr="00371514">
        <w:t xml:space="preserve">to </w:t>
      </w:r>
      <w:r w:rsidRPr="00371514">
        <w:t>overall</w:t>
      </w:r>
      <w:r w:rsidR="003D447A" w:rsidRPr="00371514">
        <w:t xml:space="preserve"> garner</w:t>
      </w:r>
      <w:r w:rsidRPr="00371514">
        <w:t xml:space="preserve"> more credibility</w:t>
      </w:r>
      <w:r w:rsidR="003D447A" w:rsidRPr="00371514">
        <w:t xml:space="preserve"> (which it</w:t>
      </w:r>
      <w:r w:rsidR="005C08A5" w:rsidRPr="00371514">
        <w:t xml:space="preserve"> previously</w:t>
      </w:r>
      <w:r w:rsidR="003D447A" w:rsidRPr="00371514">
        <w:t xml:space="preserve"> lost in great amounts)</w:t>
      </w:r>
      <w:r w:rsidR="00667085" w:rsidRPr="00371514">
        <w:t xml:space="preserve"> (Weise 2012; Romer and Romer 2004; Cargill and O’Driscoll 2013)</w:t>
      </w:r>
      <w:r w:rsidR="003D447A" w:rsidRPr="00371514">
        <w:t>,</w:t>
      </w:r>
      <w:r w:rsidRPr="00371514">
        <w:t xml:space="preserve"> notably because it was less influenced by political interference</w:t>
      </w:r>
      <w:r w:rsidR="00667085" w:rsidRPr="00371514">
        <w:t xml:space="preserve"> (Weise 2012; Cargill and O’Driscoll 2013)</w:t>
      </w:r>
      <w:r w:rsidRPr="00371514">
        <w:t>, although this last part is debated</w:t>
      </w:r>
      <w:r w:rsidR="00667085" w:rsidRPr="00371514">
        <w:t xml:space="preserve"> (Abrams and Iossifov 2006; Weise 2012; Binder 2016)</w:t>
      </w:r>
      <w:r w:rsidRPr="00371514">
        <w:t xml:space="preserve">. Overall, during this period, the use of the FFR implicitly followed the </w:t>
      </w:r>
      <w:r w:rsidRPr="00371514">
        <w:rPr>
          <w:i/>
          <w:iCs/>
        </w:rPr>
        <w:t>Taylor’s rule</w:t>
      </w:r>
      <w:r w:rsidRPr="00371514">
        <w:t>, a rule prescribing how the interest rates should be set by central banks based on inflation gap and output gap, making monetary policy a more predictable rule-based-like behavior</w:t>
      </w:r>
      <w:r w:rsidR="00E110F7" w:rsidRPr="00371514">
        <w:t>. T</w:t>
      </w:r>
      <w:r w:rsidRPr="00371514">
        <w:t xml:space="preserve">his operating regime era is often called the </w:t>
      </w:r>
      <w:r w:rsidRPr="00371514">
        <w:rPr>
          <w:i/>
          <w:iCs/>
        </w:rPr>
        <w:t>Taylor’s rule era</w:t>
      </w:r>
      <w:r w:rsidR="00E110F7" w:rsidRPr="00371514">
        <w:t>, and this is why, consistent with both the theoretical methodology of this paper and with the academic literature investigating the presence or not of PMCs in the US, this paper will use Taylor’s rule as a proxy of the fed’s monetary policy in the 1979-2008 period.</w:t>
      </w:r>
    </w:p>
    <w:p w14:paraId="0E5464F3" w14:textId="02260228" w:rsidR="003E0E62" w:rsidRPr="00371514" w:rsidRDefault="003E0E62" w:rsidP="00856FFA">
      <w:r w:rsidRPr="00371514">
        <w:t>In the regressions, this period span from November 1</w:t>
      </w:r>
      <w:r w:rsidRPr="00371514">
        <w:rPr>
          <w:vertAlign w:val="superscript"/>
        </w:rPr>
        <w:t>st</w:t>
      </w:r>
      <w:r w:rsidRPr="00371514">
        <w:t xml:space="preserve"> 1979 to December 1</w:t>
      </w:r>
      <w:r w:rsidRPr="00371514">
        <w:rPr>
          <w:vertAlign w:val="superscript"/>
        </w:rPr>
        <w:t>st</w:t>
      </w:r>
      <w:r w:rsidRPr="00371514">
        <w:t xml:space="preserve"> 2008</w:t>
      </w:r>
    </w:p>
    <w:p w14:paraId="1BDD6EE6" w14:textId="342F4E77" w:rsidR="00EB0C60" w:rsidRPr="00371514" w:rsidRDefault="00EB0C60" w:rsidP="00856FFA">
      <w:r w:rsidRPr="00371514">
        <w:rPr>
          <w:b/>
          <w:bCs/>
        </w:rPr>
        <w:t>Post-2008</w:t>
      </w:r>
      <w:r w:rsidRPr="00371514">
        <w:t xml:space="preserve">: The 2008 financial crisis brought about absolutely drastic changes in US monetary policy, as it put the </w:t>
      </w:r>
      <w:r w:rsidR="00AF47F3">
        <w:t>F</w:t>
      </w:r>
      <w:r w:rsidRPr="00371514">
        <w:t xml:space="preserve">ederal </w:t>
      </w:r>
      <w:r w:rsidR="00AF47F3">
        <w:t>R</w:t>
      </w:r>
      <w:r w:rsidRPr="00371514">
        <w:t xml:space="preserve">eserve on its knees after the zero lower bound was reached. This rendered the federal funds rate a useless policy instrument, leading the fed into a new era of “unconventional monetary policy”. As such, without being able to use the FFR, the fed resorted to deploying </w:t>
      </w:r>
      <w:r w:rsidRPr="00371514">
        <w:rPr>
          <w:i/>
          <w:iCs/>
        </w:rPr>
        <w:t>quantitative easing</w:t>
      </w:r>
      <w:r w:rsidRPr="00371514">
        <w:t xml:space="preserve"> (QE), a policy tool which involve large-scale buying of longer-term Treasury securities and mortgage-backed securities, in other words, this policy consists in </w:t>
      </w:r>
      <w:r w:rsidRPr="00371514">
        <w:rPr>
          <w:i/>
          <w:iCs/>
        </w:rPr>
        <w:t>expanding the fed’s balance sheet</w:t>
      </w:r>
      <w:r w:rsidRPr="00371514">
        <w:t>.</w:t>
      </w:r>
      <w:r w:rsidR="00891BF4" w:rsidRPr="00371514">
        <w:t xml:space="preserve"> A similar situation happened in 2020, when the ZLB was also reached.</w:t>
      </w:r>
      <w:r w:rsidRPr="00371514">
        <w:t xml:space="preserve"> The goal of is policy is to compress long-term interest rates, thereby stimulating aggregate demand, and eventually managing to restore confidence in financial markets. Because of this, the Fed's balance sheet absolutely exploded in size, going from $800 billion in 2007 to over $4 trillion in 2020 and over $8 trillion in 2022. Instead of just guiding short-term rates, this new operating regime of the Fed used policies that aim to influence the broader financial conditions instead, via asset prices, risk premiums, and financial expectations. In order to improve the latter, the fed has increased the role of </w:t>
      </w:r>
      <w:r w:rsidRPr="00371514">
        <w:rPr>
          <w:i/>
          <w:iCs/>
        </w:rPr>
        <w:t>forward guidance</w:t>
      </w:r>
      <w:r w:rsidRPr="00371514">
        <w:t xml:space="preserve">, which means that when the rates are stuck near zero, the fed began to explicitly communicate its future policy intentions, usually focusing on economic values such as employment or inflation. This new form of predictability differs from the Taylor’s era as it uses forward guidance instead of implicit rule following. In sum, the scale, composition and signaling of the fed’s </w:t>
      </w:r>
      <w:r w:rsidRPr="00371514">
        <w:rPr>
          <w:i/>
          <w:iCs/>
        </w:rPr>
        <w:t>balance sheet</w:t>
      </w:r>
      <w:r w:rsidRPr="00371514">
        <w:t xml:space="preserve"> played a more important role in this period than the federal funds rate. This is why this paper will use </w:t>
      </w:r>
      <w:r w:rsidR="008E25B6" w:rsidRPr="00371514">
        <w:t>the fed’s</w:t>
      </w:r>
      <w:r w:rsidRPr="00371514">
        <w:t xml:space="preserve"> </w:t>
      </w:r>
      <w:r w:rsidRPr="00371514">
        <w:rPr>
          <w:i/>
          <w:iCs/>
        </w:rPr>
        <w:t>balance sheet</w:t>
      </w:r>
      <w:r w:rsidR="008E25B6" w:rsidRPr="00371514">
        <w:t xml:space="preserve"> as a proxy for the monetary policy of the fed in the post-2008 period.</w:t>
      </w:r>
    </w:p>
    <w:p w14:paraId="38FDA6D4" w14:textId="24FE761D" w:rsidR="00E110F7" w:rsidRPr="00371514" w:rsidRDefault="00EB0C60" w:rsidP="00856FFA">
      <w:r w:rsidRPr="00371514">
        <w:t xml:space="preserve">It is important to note that the data before </w:t>
      </w:r>
      <w:r w:rsidR="00EA6814">
        <w:t>July 1</w:t>
      </w:r>
      <w:r w:rsidR="00EA6814" w:rsidRPr="00EA6814">
        <w:rPr>
          <w:vertAlign w:val="superscript"/>
        </w:rPr>
        <w:t>st</w:t>
      </w:r>
      <w:r w:rsidR="00EA6814">
        <w:t xml:space="preserve"> </w:t>
      </w:r>
      <w:r w:rsidR="00EA6814" w:rsidRPr="00EA6814">
        <w:t xml:space="preserve">1954 </w:t>
      </w:r>
      <w:r w:rsidRPr="00371514">
        <w:t>was excluded due to concerns over sparseness of available data and concerns over much different macroeconomic circumstances for the fed to draw monetary policy due to the major crises and wars of the previous decades. This cutoff improves the reliability and theoretical justification of both macroeconomic variables and political proxies.</w:t>
      </w:r>
    </w:p>
    <w:p w14:paraId="79F333FD" w14:textId="77777777" w:rsidR="00003A8E" w:rsidRPr="00371514" w:rsidRDefault="00003A8E" w:rsidP="00856FFA"/>
    <w:p w14:paraId="2F3C59B0" w14:textId="11696E8F" w:rsidR="007C56C7" w:rsidRPr="00371514" w:rsidRDefault="007C56C7" w:rsidP="00986B76">
      <w:pPr>
        <w:pStyle w:val="Heading3"/>
        <w:rPr>
          <w:color w:val="auto"/>
        </w:rPr>
      </w:pPr>
      <w:bookmarkStart w:id="7" w:name="_Toc208240152"/>
      <w:r w:rsidRPr="00371514">
        <w:rPr>
          <w:color w:val="auto"/>
        </w:rPr>
        <w:t>Dependent Variables Description</w:t>
      </w:r>
      <w:bookmarkEnd w:id="7"/>
    </w:p>
    <w:p w14:paraId="39497E85" w14:textId="446C8BCF" w:rsidR="007C56C7" w:rsidRPr="00371514" w:rsidRDefault="007C56C7" w:rsidP="00856FFA">
      <w:r w:rsidRPr="00371514">
        <w:rPr>
          <w:b/>
          <w:bCs/>
        </w:rPr>
        <w:t>The federal funds effective rate</w:t>
      </w:r>
      <w:r w:rsidRPr="00371514">
        <w:t xml:space="preserve"> (FEDFUNDS), which is obtained from the </w:t>
      </w:r>
      <w:r w:rsidR="00AF47F3">
        <w:t>F</w:t>
      </w:r>
      <w:r w:rsidRPr="00371514">
        <w:t xml:space="preserve">ederal </w:t>
      </w:r>
      <w:r w:rsidR="00AF47F3">
        <w:t>R</w:t>
      </w:r>
      <w:r w:rsidRPr="00371514">
        <w:t xml:space="preserve">eserve’s FRED data. The FEDFUNDS shows the actual rates weighted average rate of overnight loans between banks in the federal funds market, it is a little different to the FFR in the sense that the FFR is the target and the FEDFUNDS are the actual rates set. The FEDFUNDS data is preferred to the FFR data because it is way more extensive; it goes all the way back to 1954 whereas the FFR data only goes back to 2008 at the earliest. It is still theoretically justified to use FEDFUNDS instead of FFR because it looks at the </w:t>
      </w:r>
      <w:r w:rsidRPr="00371514">
        <w:rPr>
          <w:i/>
          <w:iCs/>
        </w:rPr>
        <w:t xml:space="preserve">de facto </w:t>
      </w:r>
      <w:r w:rsidRPr="00371514">
        <w:t xml:space="preserve">rates while FFR shows the normative ones, and the Fed still has a high amount of control over the FEDFUNDS. The use of FEDFUNDS to take interest rates into account is a consistent practice across the literature </w:t>
      </w:r>
      <w:r w:rsidR="00191566" w:rsidRPr="00371514">
        <w:t xml:space="preserve">(Grier 1989; Abrams and Iossifov 2006; Weise 2012; Romer and Romer 2004; Allen 1986). </w:t>
      </w:r>
      <w:r w:rsidRPr="00371514">
        <w:t>This variable will be ref</w:t>
      </w:r>
      <w:r w:rsidR="00191566" w:rsidRPr="00371514">
        <w:t>er</w:t>
      </w:r>
      <w:r w:rsidRPr="00371514">
        <w:t>red to in the models as “rate”.</w:t>
      </w:r>
    </w:p>
    <w:p w14:paraId="53877607" w14:textId="763D9C89" w:rsidR="007C56C7" w:rsidRPr="00371514" w:rsidRDefault="007C56C7" w:rsidP="00856FFA">
      <w:r w:rsidRPr="00371514">
        <w:rPr>
          <w:b/>
          <w:bCs/>
        </w:rPr>
        <w:t>Taylor’s rule residuals</w:t>
      </w:r>
      <w:r w:rsidRPr="00371514">
        <w:t>, which are obtained by using the “residuals” R function on the Taylor fit model defined as “rate ~ inflation_gap + output_gap”, with “rate” being the FEDFUNDS variable mentioned in the previous paragraph.</w:t>
      </w:r>
      <w:r w:rsidR="00BE6432" w:rsidRPr="00371514">
        <w:t xml:space="preserve"> It is important to note that the inflation gap does not have 2% subtracted, as would usually be standard practice</w:t>
      </w:r>
      <w:r w:rsidR="00DF54F4" w:rsidRPr="00371514">
        <w:t xml:space="preserve"> to account for inflation target</w:t>
      </w:r>
      <w:r w:rsidR="00BE6432" w:rsidRPr="00371514">
        <w:t xml:space="preserve">, </w:t>
      </w:r>
      <w:r w:rsidR="00DF54F4" w:rsidRPr="00371514">
        <w:t>because the 2% inflation target was formalized in 2012. Because of this, the theoretical justification for the variable would be negatively affected up for the analysis pre-2012</w:t>
      </w:r>
      <w:r w:rsidR="00BE6432" w:rsidRPr="00371514">
        <w:t>.</w:t>
      </w:r>
      <w:r w:rsidRPr="00371514">
        <w:t xml:space="preserve"> In removing the parts that can be explained by macro-economic fundamentals, we can isolate the “non fundamentals” which allows us to observe the deviations from standard monetary policy rules, on which we can make regression to see if they can be explained by political factors. Although the use of the Taylor’s rule is very widespread as it is one of the most popular proxies for “baseline monetary policy”</w:t>
      </w:r>
      <w:r w:rsidR="005C0281" w:rsidRPr="00371514">
        <w:t xml:space="preserve"> (Abrams and Iossifov 2006; Jones and Snyder 2014; Klose 2012)</w:t>
      </w:r>
      <w:r w:rsidRPr="00371514">
        <w:t>, using its residuals in this way is an original contribution from this paper. This variable will be referred to in the models as “residual_taylor”.</w:t>
      </w:r>
    </w:p>
    <w:p w14:paraId="0EC7CFD9" w14:textId="47BA42C3" w:rsidR="007C56C7" w:rsidRPr="00371514" w:rsidRDefault="007C56C7" w:rsidP="00856FFA">
      <w:r w:rsidRPr="00371514">
        <w:rPr>
          <w:b/>
          <w:bCs/>
        </w:rPr>
        <w:t>The Fed balance sheet</w:t>
      </w:r>
      <w:r w:rsidRPr="00371514">
        <w:t>, which is obtained by taking the “Assets: Total Assets (Less Eliminations from Consolidation), weekly level” data from the FRED, which is under the code “WALCL”. The WALCL is the size of the total balance sheet of the Fed. In order to be able to be used in the regressions, we calculate the monthly average of the data before taking the logarithm of those monthly data in order to convert multiplicative growth into additive changes, stabilize variance and better allows the interpretation of changes. Then the month by month difference in the obtained levels is calculated giving us the variable which we need in our regression, the “log_bal_diff”, as it will be referred to in the models, with which we can measure the pace of QE. Although the use of the Fed’s balance sheet data is common in the literature</w:t>
      </w:r>
      <w:r w:rsidR="00191566" w:rsidRPr="00371514">
        <w:t xml:space="preserve"> </w:t>
      </w:r>
      <w:r w:rsidR="00923EB4" w:rsidRPr="00371514">
        <w:t>(Binder 2016; Cargill and O’Driscoll 2013; Jordan and Luther 2022)</w:t>
      </w:r>
      <w:r w:rsidRPr="00371514">
        <w:t xml:space="preserve">, the specific way in which it got formatted in this paper is an original contribution. </w:t>
      </w:r>
    </w:p>
    <w:p w14:paraId="35DB0ADC" w14:textId="77777777" w:rsidR="007C56C7" w:rsidRPr="00371514" w:rsidRDefault="007C56C7" w:rsidP="00856FFA"/>
    <w:p w14:paraId="4A28111F" w14:textId="77777777" w:rsidR="0046148F" w:rsidRPr="00371514" w:rsidRDefault="0046148F" w:rsidP="00856FFA"/>
    <w:p w14:paraId="67AE9BD5" w14:textId="5D46AF76" w:rsidR="00E110F7" w:rsidRPr="00371514" w:rsidRDefault="008E25B6" w:rsidP="00986B76">
      <w:pPr>
        <w:pStyle w:val="Heading3"/>
        <w:rPr>
          <w:color w:val="auto"/>
        </w:rPr>
      </w:pPr>
      <w:bookmarkStart w:id="8" w:name="_Toc208240153"/>
      <w:r w:rsidRPr="00371514">
        <w:rPr>
          <w:color w:val="auto"/>
        </w:rPr>
        <w:lastRenderedPageBreak/>
        <w:t xml:space="preserve">Independent Variables </w:t>
      </w:r>
      <w:r w:rsidR="007C56C7" w:rsidRPr="00371514">
        <w:rPr>
          <w:color w:val="auto"/>
        </w:rPr>
        <w:t>Description</w:t>
      </w:r>
      <w:r w:rsidRPr="00371514">
        <w:rPr>
          <w:color w:val="auto"/>
        </w:rPr>
        <w:t xml:space="preserve"> &amp; Justification</w:t>
      </w:r>
      <w:bookmarkEnd w:id="8"/>
    </w:p>
    <w:p w14:paraId="08CEF606" w14:textId="77777777" w:rsidR="0046148F" w:rsidRPr="00371514" w:rsidRDefault="0046148F" w:rsidP="00856FFA">
      <w:pPr>
        <w:pStyle w:val="Heading4"/>
        <w:rPr>
          <w:rFonts w:cs="Times New Roman"/>
          <w:color w:val="auto"/>
          <w:lang w:val="en-US"/>
        </w:rPr>
      </w:pPr>
    </w:p>
    <w:p w14:paraId="0A10F35E" w14:textId="7E25BCF5" w:rsidR="003A540E" w:rsidRPr="00371514" w:rsidRDefault="003A540E" w:rsidP="00856FFA">
      <w:pPr>
        <w:pStyle w:val="Heading4"/>
        <w:rPr>
          <w:rFonts w:cs="Times New Roman"/>
          <w:color w:val="auto"/>
          <w:lang w:val="en-US"/>
        </w:rPr>
      </w:pPr>
      <w:r w:rsidRPr="00371514">
        <w:rPr>
          <w:rFonts w:cs="Times New Roman"/>
          <w:color w:val="auto"/>
          <w:lang w:val="en-US"/>
        </w:rPr>
        <w:t>Macro-Economic Variables</w:t>
      </w:r>
    </w:p>
    <w:p w14:paraId="2A131205" w14:textId="79B03C66" w:rsidR="0012412D" w:rsidRPr="00371514" w:rsidRDefault="00F11B80" w:rsidP="00856FFA">
      <w:r w:rsidRPr="00371514">
        <w:rPr>
          <w:b/>
          <w:bCs/>
        </w:rPr>
        <w:t>Inflation Gap</w:t>
      </w:r>
      <w:r w:rsidR="0036516E" w:rsidRPr="00371514">
        <w:t xml:space="preserve">: A continuous variable </w:t>
      </w:r>
      <w:r w:rsidRPr="00371514">
        <w:t xml:space="preserve">calculated from the </w:t>
      </w:r>
      <w:r w:rsidR="0012412D" w:rsidRPr="00371514">
        <w:t xml:space="preserve">annualized </w:t>
      </w:r>
      <w:r w:rsidRPr="00371514">
        <w:t>logarithm</w:t>
      </w:r>
      <w:r w:rsidR="0012412D" w:rsidRPr="00371514">
        <w:t>ic year over year compounded change</w:t>
      </w:r>
      <w:r w:rsidRPr="00371514">
        <w:t xml:space="preserve"> of the FRED consumer price index (CPI)</w:t>
      </w:r>
      <w:r w:rsidR="0012412D" w:rsidRPr="00371514">
        <w:t xml:space="preserve">, scaled </w:t>
      </w:r>
      <w:r w:rsidR="0046148F" w:rsidRPr="00371514">
        <w:t xml:space="preserve">by 1200 </w:t>
      </w:r>
      <w:r w:rsidR="0012412D" w:rsidRPr="00371514">
        <w:t xml:space="preserve">to match the percentage format which is </w:t>
      </w:r>
      <w:r w:rsidRPr="00371514">
        <w:t>standard practice in the academic literature investigating monetary policy</w:t>
      </w:r>
      <w:r w:rsidR="00B41BAA" w:rsidRPr="00371514">
        <w:t xml:space="preserve"> (Grier 1989; Alesina 1987; Romer and Romer 2004; Jones and Snyder 2014; Klose 2012)</w:t>
      </w:r>
      <w:r w:rsidRPr="00371514">
        <w:t>.</w:t>
      </w:r>
      <w:r w:rsidR="00235A85" w:rsidRPr="00371514">
        <w:t xml:space="preserve"> It is calculated with the following formula:</w:t>
      </w:r>
    </w:p>
    <w:p w14:paraId="7E8B7BA6" w14:textId="1D9712D0" w:rsidR="0012412D" w:rsidRPr="00371514" w:rsidRDefault="0012412D" w:rsidP="006D55B5">
      <w:pPr>
        <w:jc w:val="center"/>
      </w:pPr>
      <w:r w:rsidRPr="00371514">
        <w:t>InflationYoY​ = 1200 × log( CPIt / ​CPIt-12 ​​)</w:t>
      </w:r>
    </w:p>
    <w:p w14:paraId="5248F904" w14:textId="58EEF186" w:rsidR="00F11B80" w:rsidRPr="00371514" w:rsidRDefault="0046148F" w:rsidP="00856FFA">
      <w:r w:rsidRPr="00371514">
        <w:t xml:space="preserve">This variable reflects how much inflation has changed from what it was 12 months prior. The use of a 12 months horizon smooths month over month volatility while keeping comparability. </w:t>
      </w:r>
      <w:r w:rsidR="00F11B80" w:rsidRPr="00371514">
        <w:t>Responsiveness to</w:t>
      </w:r>
      <w:r w:rsidRPr="00371514">
        <w:t xml:space="preserve"> year over year</w:t>
      </w:r>
      <w:r w:rsidR="00F11B80" w:rsidRPr="00371514">
        <w:t xml:space="preserve"> inflation gap is an absolute staple in the monetary policy academic literature, and any self-respecting models looking at the Fed’s behavior in any way must take it into account.</w:t>
      </w:r>
      <w:r w:rsidR="009175F6" w:rsidRPr="00371514">
        <w:t xml:space="preserve"> This variable will be referred to in the models as “inflation_gap”.</w:t>
      </w:r>
    </w:p>
    <w:p w14:paraId="636CC8E6" w14:textId="40BD7C82" w:rsidR="00590803" w:rsidRPr="00371514" w:rsidRDefault="00590803" w:rsidP="00856FFA">
      <w:r w:rsidRPr="00371514">
        <w:rPr>
          <w:b/>
          <w:bCs/>
        </w:rPr>
        <w:t>Output Gap</w:t>
      </w:r>
      <w:r w:rsidR="0036516E" w:rsidRPr="00371514">
        <w:t xml:space="preserve">: A continuous variable </w:t>
      </w:r>
      <w:r w:rsidRPr="00371514">
        <w:t>calculated from</w:t>
      </w:r>
      <w:r w:rsidR="00E2078F" w:rsidRPr="00371514">
        <w:t xml:space="preserve"> the</w:t>
      </w:r>
      <w:r w:rsidR="00F11B80" w:rsidRPr="00371514">
        <w:t xml:space="preserve"> logarithm of the</w:t>
      </w:r>
      <w:r w:rsidR="00E2078F" w:rsidRPr="00371514">
        <w:t xml:space="preserve"> FRED</w:t>
      </w:r>
      <w:r w:rsidRPr="00371514">
        <w:t xml:space="preserve"> industrial production</w:t>
      </w:r>
      <w:r w:rsidRPr="00371514">
        <w:rPr>
          <w:b/>
          <w:bCs/>
        </w:rPr>
        <w:t xml:space="preserve"> </w:t>
      </w:r>
      <w:r w:rsidR="007C00AE" w:rsidRPr="00371514">
        <w:t xml:space="preserve">index </w:t>
      </w:r>
      <w:r w:rsidR="00E2078F" w:rsidRPr="00371514">
        <w:t xml:space="preserve">(INDPRO) </w:t>
      </w:r>
      <w:r w:rsidR="007C00AE" w:rsidRPr="00371514">
        <w:t>using a Hodrick-Prescott (HP) filter with a frequency of 14400 (suitable for monthly data), following standard practice in the academic literature investigating monetary policy.</w:t>
      </w:r>
      <w:r w:rsidR="00F11B80" w:rsidRPr="00371514">
        <w:t xml:space="preserve"> Responsiveness to output gap is an absolute staple in the monetary policy academic literature</w:t>
      </w:r>
      <w:r w:rsidR="00E67E36" w:rsidRPr="00371514">
        <w:t xml:space="preserve"> (Gamber and Hakes 1997; Alesina 1987; Klose 2012; Jones and Snyder 2014)</w:t>
      </w:r>
      <w:r w:rsidR="00F11B80" w:rsidRPr="00371514">
        <w:t>, and any self-respecting models looking at the Fed’s behavior in any way must take it into account.</w:t>
      </w:r>
      <w:r w:rsidR="009175F6" w:rsidRPr="00371514">
        <w:t xml:space="preserve"> This variable will be referred to in the model</w:t>
      </w:r>
      <w:r w:rsidR="00052792" w:rsidRPr="00371514">
        <w:t>s</w:t>
      </w:r>
      <w:r w:rsidR="009175F6" w:rsidRPr="00371514">
        <w:t xml:space="preserve"> as “output_gap”.</w:t>
      </w:r>
    </w:p>
    <w:p w14:paraId="0737F9D8" w14:textId="54B1B6C5" w:rsidR="0046148F" w:rsidRPr="00371514" w:rsidRDefault="0036516E" w:rsidP="00856FFA">
      <w:r w:rsidRPr="00371514">
        <w:rPr>
          <w:b/>
          <w:bCs/>
        </w:rPr>
        <w:t>Unemployment rate</w:t>
      </w:r>
      <w:r w:rsidRPr="00371514">
        <w:t>:</w:t>
      </w:r>
      <w:r w:rsidRPr="00371514">
        <w:rPr>
          <w:b/>
          <w:bCs/>
        </w:rPr>
        <w:t xml:space="preserve"> </w:t>
      </w:r>
      <w:r w:rsidRPr="00371514">
        <w:t xml:space="preserve">A continuous variable </w:t>
      </w:r>
      <w:r w:rsidR="00374298" w:rsidRPr="00371514">
        <w:t>extracted from</w:t>
      </w:r>
      <w:r w:rsidRPr="00371514">
        <w:t xml:space="preserve"> the</w:t>
      </w:r>
      <w:r w:rsidR="00374298" w:rsidRPr="00371514">
        <w:t xml:space="preserve"> FRED data under the code UNRATE. It represents the</w:t>
      </w:r>
      <w:r w:rsidRPr="00371514">
        <w:t xml:space="preserve"> monthly U.S. civilian unemployment rate. </w:t>
      </w:r>
      <w:r w:rsidR="00374298" w:rsidRPr="00371514">
        <w:t>The unemployment rate has always been one of the most popular macroeconomic data to analyze the health of an economy</w:t>
      </w:r>
      <w:r w:rsidR="00870E6D" w:rsidRPr="00371514">
        <w:t>, and has been used unsurprisingly often in the literature (Alesina 1987; Romer and Romer 2004; Carlsen 1997; Weise 2012)</w:t>
      </w:r>
      <w:r w:rsidR="00374298" w:rsidRPr="00371514">
        <w:t>. A significant part of what gives unemployment its aura is that it directly translate to very real and widely understood consequences on people’s livelihoods and as such could be source of political pressure on the incumbent administration.</w:t>
      </w:r>
      <w:r w:rsidRPr="00371514">
        <w:t xml:space="preserve"> This variable will be referred to in the model</w:t>
      </w:r>
      <w:r w:rsidR="00052792" w:rsidRPr="00371514">
        <w:t>s</w:t>
      </w:r>
      <w:r w:rsidRPr="00371514">
        <w:t xml:space="preserve"> as “unemp”.</w:t>
      </w:r>
    </w:p>
    <w:p w14:paraId="6EB5B0E7" w14:textId="77777777" w:rsidR="0046148F" w:rsidRPr="00371514" w:rsidRDefault="0046148F" w:rsidP="00856FFA"/>
    <w:p w14:paraId="47CC4E01" w14:textId="09787F3B" w:rsidR="003A540E" w:rsidRPr="00371514" w:rsidRDefault="003A540E" w:rsidP="00856FFA">
      <w:pPr>
        <w:pStyle w:val="Heading4"/>
        <w:rPr>
          <w:rFonts w:cs="Times New Roman"/>
          <w:color w:val="auto"/>
          <w:lang w:val="en-US"/>
        </w:rPr>
      </w:pPr>
      <w:r w:rsidRPr="00371514">
        <w:rPr>
          <w:rFonts w:cs="Times New Roman"/>
          <w:color w:val="auto"/>
          <w:lang w:val="en-US"/>
        </w:rPr>
        <w:t>Political Variables</w:t>
      </w:r>
    </w:p>
    <w:p w14:paraId="02EBC626" w14:textId="1519F913" w:rsidR="00A37AB0" w:rsidRPr="00371514" w:rsidRDefault="00A37AB0" w:rsidP="00856FFA">
      <w:r w:rsidRPr="00371514">
        <w:rPr>
          <w:b/>
          <w:bCs/>
        </w:rPr>
        <w:t>Presidential disapproval rate</w:t>
      </w:r>
      <w:r w:rsidRPr="00371514">
        <w:t xml:space="preserve">: </w:t>
      </w:r>
      <w:r w:rsidR="007D202D" w:rsidRPr="00371514">
        <w:t>A continuous variable e</w:t>
      </w:r>
      <w:r w:rsidRPr="00371514">
        <w:t>xtracted from Gallup polling data</w:t>
      </w:r>
      <w:r w:rsidR="007D202D" w:rsidRPr="00371514">
        <w:t xml:space="preserve"> representing the percentage of people who disapprove of the incumbent President</w:t>
      </w:r>
      <w:r w:rsidR="009C77B6" w:rsidRPr="00371514">
        <w:t>.</w:t>
      </w:r>
      <w:r w:rsidR="00052792" w:rsidRPr="00371514">
        <w:t xml:space="preserve"> Using presidential popularity, especially the gallup the data on it is common practice in the academic literature (Gamber and Hakes 1997; Binder 2016; Weise 2012; Dentler 2019).</w:t>
      </w:r>
      <w:r w:rsidR="009C77B6" w:rsidRPr="00371514">
        <w:t xml:space="preserve"> Because the data was often recorded during a period of around two weeks, </w:t>
      </w:r>
      <w:r w:rsidR="002A4295" w:rsidRPr="00371514">
        <w:t xml:space="preserve">and because this study uses monthly data, the month of a poll was determined depending on its “mid date” (determined by the following formula: mid_date = start_date + (end_date - start_date) / 2). If multiple polls ended up in the same month (as sometimes happened), their values were </w:t>
      </w:r>
      <w:r w:rsidRPr="00371514">
        <w:t>averaged. This</w:t>
      </w:r>
      <w:r w:rsidR="002A4295" w:rsidRPr="00371514">
        <w:t xml:space="preserve"> </w:t>
      </w:r>
      <w:r w:rsidR="002A4295" w:rsidRPr="00371514">
        <w:lastRenderedPageBreak/>
        <w:t>variable</w:t>
      </w:r>
      <w:r w:rsidRPr="00371514">
        <w:t xml:space="preserve"> serves as a proxy for the political pressure faced by incumbent</w:t>
      </w:r>
      <w:r w:rsidR="002A4295" w:rsidRPr="00371514">
        <w:t xml:space="preserve"> administration, and could explain variation in monetary policy as a consequence of the reaction of the incumbent to public opinion</w:t>
      </w:r>
      <w:r w:rsidRPr="00371514">
        <w:t>.</w:t>
      </w:r>
      <w:r w:rsidR="009175F6" w:rsidRPr="00371514">
        <w:t xml:space="preserve"> This variable will be referred to in the models as “disapproval_rate”.</w:t>
      </w:r>
    </w:p>
    <w:p w14:paraId="708147C7" w14:textId="77777777" w:rsidR="001B3706" w:rsidRPr="00371514" w:rsidRDefault="00A37AB0" w:rsidP="00856FFA">
      <w:r w:rsidRPr="00371514">
        <w:rPr>
          <w:b/>
          <w:bCs/>
        </w:rPr>
        <w:t>Proximity to presidential elections</w:t>
      </w:r>
      <w:r w:rsidRPr="00371514">
        <w:t xml:space="preserve">: </w:t>
      </w:r>
      <w:r w:rsidR="002A4295" w:rsidRPr="00371514">
        <w:t>A continuous variable representing how close a month is to the elections.</w:t>
      </w:r>
      <w:r w:rsidR="0020425F" w:rsidRPr="00371514">
        <w:t xml:space="preserve"> A variable measuring the proximity to the elections is the most popular kind of variable in the literature (Grier 1989; Beck 1987; Funashima 2013; Carlsen 1997; Abrams and Iossifov 2006; Allen 1986).</w:t>
      </w:r>
      <w:r w:rsidR="007D202D" w:rsidRPr="00371514">
        <w:t xml:space="preserve"> The </w:t>
      </w:r>
      <w:r w:rsidR="002D49EB" w:rsidRPr="00371514">
        <w:t>US</w:t>
      </w:r>
      <w:r w:rsidR="007D202D" w:rsidRPr="00371514">
        <w:t xml:space="preserve"> elections always take place between the 2</w:t>
      </w:r>
      <w:r w:rsidR="007D202D" w:rsidRPr="00371514">
        <w:rPr>
          <w:vertAlign w:val="superscript"/>
        </w:rPr>
        <w:t>nd</w:t>
      </w:r>
      <w:r w:rsidR="007D202D" w:rsidRPr="00371514">
        <w:t xml:space="preserve"> and the 8</w:t>
      </w:r>
      <w:r w:rsidR="007D202D" w:rsidRPr="00371514">
        <w:rPr>
          <w:vertAlign w:val="superscript"/>
        </w:rPr>
        <w:t>th</w:t>
      </w:r>
      <w:r w:rsidR="007D202D" w:rsidRPr="00371514">
        <w:t xml:space="preserve"> of November. This variable is calculated by the following formula: </w:t>
      </w:r>
    </w:p>
    <w:p w14:paraId="14BD4333" w14:textId="77777777" w:rsidR="001B3706" w:rsidRPr="00371514" w:rsidRDefault="007D202D" w:rsidP="006D55B5">
      <w:pPr>
        <w:jc w:val="center"/>
      </w:pPr>
      <w:r w:rsidRPr="00371514">
        <w:t>1 - months_to_election / 11</w:t>
      </w:r>
    </w:p>
    <w:p w14:paraId="2A1D5D06" w14:textId="5602E0E7" w:rsidR="00A37AB0" w:rsidRPr="00371514" w:rsidRDefault="007D202D" w:rsidP="00856FFA">
      <w:r w:rsidRPr="00371514">
        <w:t xml:space="preserve"> (months_to_election is literally the amount of months between a month and November, as such, months_to_election is equal to 10 in Janurary, 5 in June and 0 in November).</w:t>
      </w:r>
      <w:r w:rsidR="002A4295" w:rsidRPr="00371514">
        <w:t xml:space="preserve"> As such, January </w:t>
      </w:r>
      <w:r w:rsidRPr="00371514">
        <w:t>has a proximity of 0.09090909, June has a proximity of 0.54545455 November has a proximity of 1</w:t>
      </w:r>
      <w:r w:rsidR="001B3706" w:rsidRPr="00371514">
        <w:t xml:space="preserve"> and December has a proximity of 0, just like any other months which are not amongst the 11 ones preceding elections</w:t>
      </w:r>
      <w:r w:rsidRPr="00371514">
        <w:t>.</w:t>
      </w:r>
      <w:r w:rsidR="009175F6" w:rsidRPr="00371514">
        <w:t xml:space="preserve"> This variable will be referred to in the models as “proximity”.</w:t>
      </w:r>
    </w:p>
    <w:p w14:paraId="43867205" w14:textId="091415DC" w:rsidR="00A37AB0" w:rsidRPr="00371514" w:rsidRDefault="00A37AB0" w:rsidP="00856FFA">
      <w:r w:rsidRPr="00371514">
        <w:rPr>
          <w:b/>
          <w:bCs/>
        </w:rPr>
        <w:t>Administrative continuity</w:t>
      </w:r>
      <w:r w:rsidRPr="00371514">
        <w:t xml:space="preserve">: A </w:t>
      </w:r>
      <w:r w:rsidR="007D202D" w:rsidRPr="00371514">
        <w:t>Boolean variable</w:t>
      </w:r>
      <w:r w:rsidR="0093338B" w:rsidRPr="00371514">
        <w:t xml:space="preserve"> (TRUE or FALSE)</w:t>
      </w:r>
      <w:r w:rsidRPr="00371514">
        <w:t xml:space="preserve"> </w:t>
      </w:r>
      <w:r w:rsidR="007D202D" w:rsidRPr="00371514">
        <w:t xml:space="preserve">indicating </w:t>
      </w:r>
      <w:r w:rsidRPr="00371514">
        <w:t xml:space="preserve">whether the </w:t>
      </w:r>
      <w:r w:rsidR="0093338B" w:rsidRPr="00371514">
        <w:t>incumbent is running for reelection</w:t>
      </w:r>
      <w:r w:rsidRPr="00371514">
        <w:t>.</w:t>
      </w:r>
      <w:r w:rsidR="0093338B" w:rsidRPr="00371514">
        <w:t xml:space="preserve"> If the incumbent</w:t>
      </w:r>
      <w:r w:rsidR="00A96A87" w:rsidRPr="00371514">
        <w:t xml:space="preserve"> administration</w:t>
      </w:r>
      <w:r w:rsidR="0093338B" w:rsidRPr="00371514">
        <w:t xml:space="preserve"> is running for reelection it is TRUE, but if it isn’t, it is FALSE. </w:t>
      </w:r>
      <w:r w:rsidR="00A96A87" w:rsidRPr="00371514">
        <w:t>However, t</w:t>
      </w:r>
      <w:r w:rsidR="0093338B" w:rsidRPr="00371514">
        <w:t xml:space="preserve">wo historical cases blur the line: in 1968 president Lindon B. Johnson did ending up dropping out of the race but his administration did go for reelection, similarly for Joe Biden in 2024 where he also ended up dropping out while his </w:t>
      </w:r>
      <w:r w:rsidR="00714B7E" w:rsidRPr="00371514">
        <w:t xml:space="preserve">own </w:t>
      </w:r>
      <w:r w:rsidR="0093338B" w:rsidRPr="00371514">
        <w:t xml:space="preserve">administration kept running for reelection. For both those cases, the administrative continuity is deemed as TRUE because the incumbent administration is running for reelection and this paper </w:t>
      </w:r>
      <w:r w:rsidR="00A96A87" w:rsidRPr="00371514">
        <w:t>considers</w:t>
      </w:r>
      <w:r w:rsidR="0093338B" w:rsidRPr="00371514">
        <w:t xml:space="preserve"> more conceptually sound to focus on the administration rather than the individual presidents</w:t>
      </w:r>
      <w:r w:rsidR="00A96A87" w:rsidRPr="00371514">
        <w:t>, as the presidents are not alone in deciding monetary policy</w:t>
      </w:r>
      <w:r w:rsidR="0093338B" w:rsidRPr="00371514">
        <w:t>.</w:t>
      </w:r>
      <w:r w:rsidR="00714B7E" w:rsidRPr="00371514">
        <w:t xml:space="preserve"> This variable has been used several times in the literature (Carlsen 1997; Abrams and Iossifov 2006; Weise 2012).</w:t>
      </w:r>
      <w:r w:rsidR="009175F6" w:rsidRPr="00371514">
        <w:t xml:space="preserve"> This variable will be referred to in the models as “admin_continued”.</w:t>
      </w:r>
    </w:p>
    <w:p w14:paraId="74BAC3BE" w14:textId="56B17455" w:rsidR="00724CDF" w:rsidRPr="00371514" w:rsidRDefault="00724CDF" w:rsidP="00856FFA">
      <w:r w:rsidRPr="00371514">
        <w:rPr>
          <w:b/>
          <w:bCs/>
        </w:rPr>
        <w:t>Party alignment</w:t>
      </w:r>
      <w:r w:rsidRPr="00371514">
        <w:t>: A Boolean variable (TRUE or FALSE) indicating whether the President’s party is the same than the current Fed Chair’s party (TRUE if they’re the same, FALSE if they’re not). This variable is a proxy for institutional alignment or ideological proximity, which some argue might influence the degree of political pressure of the executive on the Fed or the cooperation between the administration and the Fed.</w:t>
      </w:r>
      <w:r w:rsidR="001A6626" w:rsidRPr="00371514">
        <w:t xml:space="preserve"> This variable has been used several times in the literature (Havrilesky 1994; Abrams and Iossifov 2006; Jones and Snyder 2014; Falaschetti 2002).</w:t>
      </w:r>
      <w:r w:rsidRPr="00371514">
        <w:t xml:space="preserve"> This variable will be referred to in the models as “party_alignment”.</w:t>
      </w:r>
    </w:p>
    <w:p w14:paraId="7A80C042" w14:textId="77777777" w:rsidR="001829A4" w:rsidRPr="00371514" w:rsidRDefault="001829A4" w:rsidP="00856FFA"/>
    <w:p w14:paraId="3607DEC1" w14:textId="6FDFC252" w:rsidR="00724CDF" w:rsidRPr="00371514" w:rsidRDefault="001829A4" w:rsidP="00856FFA">
      <w:pPr>
        <w:pStyle w:val="Heading4"/>
        <w:rPr>
          <w:rFonts w:cs="Times New Roman"/>
          <w:color w:val="auto"/>
          <w:lang w:val="en-US"/>
        </w:rPr>
      </w:pPr>
      <w:r w:rsidRPr="00371514">
        <w:rPr>
          <w:rFonts w:cs="Times New Roman"/>
          <w:color w:val="auto"/>
          <w:lang w:val="en-US"/>
        </w:rPr>
        <w:t>Models</w:t>
      </w:r>
    </w:p>
    <w:p w14:paraId="52CC0292" w14:textId="1E823E44" w:rsidR="00E407C5" w:rsidRPr="00371514" w:rsidRDefault="0064447B" w:rsidP="00856FFA">
      <w:r w:rsidRPr="00371514">
        <w:t xml:space="preserve">For each </w:t>
      </w:r>
      <w:r w:rsidR="00E407C5" w:rsidRPr="00371514">
        <w:t>operating regime period,</w:t>
      </w:r>
      <w:r w:rsidRPr="00371514">
        <w:t xml:space="preserve"> this paper presents different regressions of the FEDFUNDS rate, the taylor’s rule residuals as well as the Fed’s balance sheet (the Fed’s balance sheet data is only fully available for the post-2008 operating regime period) on the previously described independent variables.</w:t>
      </w:r>
    </w:p>
    <w:p w14:paraId="5873E73F" w14:textId="0E1DB293" w:rsidR="00CB5DB7" w:rsidRPr="00371514" w:rsidRDefault="0064447B" w:rsidP="00856FFA">
      <w:r w:rsidRPr="00371514">
        <w:lastRenderedPageBreak/>
        <w:t>P</w:t>
      </w:r>
      <w:r w:rsidR="00BB731A" w:rsidRPr="00371514">
        <w:t>re</w:t>
      </w:r>
      <w:r w:rsidRPr="00371514">
        <w:t>_</w:t>
      </w:r>
      <w:r w:rsidR="00BB731A" w:rsidRPr="00371514">
        <w:t>1979</w:t>
      </w:r>
      <w:r w:rsidRPr="00371514">
        <w:t>_</w:t>
      </w:r>
      <w:r w:rsidR="00204CE4" w:rsidRPr="00371514">
        <w:t>1:</w:t>
      </w:r>
      <w:r w:rsidR="00BB731A" w:rsidRPr="00371514">
        <w:br/>
        <w:t>rate ~ inflation_gap + output_gap + proximity + admin_continued + disapproval_rate + unemp + party_alignment</w:t>
      </w:r>
    </w:p>
    <w:p w14:paraId="240B5AEE" w14:textId="7FFA7991" w:rsidR="00204CE4" w:rsidRPr="00371514" w:rsidRDefault="00204CE4" w:rsidP="00856FFA">
      <w:r w:rsidRPr="00371514">
        <w:t>Pre_1979_2:</w:t>
      </w:r>
      <w:r w:rsidR="00080DA7" w:rsidRPr="00371514">
        <w:br/>
        <w:t>residual_taylor ~ proximity + admin_continued + disapproval_rate + unemp + party_alignment</w:t>
      </w:r>
    </w:p>
    <w:p w14:paraId="26494A26" w14:textId="77777777" w:rsidR="00080DA7" w:rsidRPr="00371514" w:rsidRDefault="00204CE4" w:rsidP="00856FFA">
      <w:r w:rsidRPr="00371514">
        <w:t>1</w:t>
      </w:r>
      <w:r w:rsidR="00BB731A" w:rsidRPr="00371514">
        <w:t>9</w:t>
      </w:r>
      <w:r w:rsidR="00CC1EB2" w:rsidRPr="00371514">
        <w:t>79</w:t>
      </w:r>
      <w:r w:rsidR="00BB731A" w:rsidRPr="00371514">
        <w:t>_2008</w:t>
      </w:r>
      <w:r w:rsidRPr="00371514">
        <w:t>_1:</w:t>
      </w:r>
      <w:r w:rsidR="00080DA7" w:rsidRPr="00371514">
        <w:br/>
        <w:t>rate ~ inflation_gap + output_gap + proximity + admin_continued + disapproval_rate + unemp + party_alignment</w:t>
      </w:r>
    </w:p>
    <w:p w14:paraId="10B2EBFD" w14:textId="3B2BEA30" w:rsidR="00BB731A" w:rsidRPr="00371514" w:rsidRDefault="00080DA7" w:rsidP="00856FFA">
      <w:r w:rsidRPr="00371514">
        <w:t>1979_2008_2:</w:t>
      </w:r>
      <w:r w:rsidRPr="00371514">
        <w:br/>
      </w:r>
      <w:r w:rsidR="00BB731A" w:rsidRPr="00371514">
        <w:t>residual_taylor ~ proximity + admin_continued + disapproval_rate + unemp + party_alignment</w:t>
      </w:r>
    </w:p>
    <w:p w14:paraId="1C2F2463" w14:textId="77777777" w:rsidR="00080DA7" w:rsidRPr="00371514" w:rsidRDefault="00BB731A" w:rsidP="00080DA7">
      <w:r w:rsidRPr="00371514">
        <w:t>post_2008</w:t>
      </w:r>
      <w:r w:rsidR="00080DA7" w:rsidRPr="00371514">
        <w:t>_1</w:t>
      </w:r>
      <w:r w:rsidRPr="00371514">
        <w:t>:</w:t>
      </w:r>
      <w:r w:rsidR="00080DA7" w:rsidRPr="00371514">
        <w:br/>
        <w:t>rate ~ inflation_gap + output_gap + proximity + admin_continued + disapproval_rate + unemp + party_alignment</w:t>
      </w:r>
    </w:p>
    <w:p w14:paraId="5793A1B6" w14:textId="4BE4C261" w:rsidR="00080DA7" w:rsidRPr="00371514" w:rsidRDefault="00080DA7" w:rsidP="00080DA7">
      <w:r w:rsidRPr="00371514">
        <w:t>post_</w:t>
      </w:r>
      <w:r w:rsidR="00C7016E" w:rsidRPr="00371514">
        <w:t>2008</w:t>
      </w:r>
      <w:r w:rsidRPr="00371514">
        <w:t>_2:</w:t>
      </w:r>
      <w:r w:rsidRPr="00371514">
        <w:br/>
        <w:t xml:space="preserve">residual_taylor </w:t>
      </w:r>
      <w:r w:rsidR="003F535D">
        <w:t>~</w:t>
      </w:r>
      <w:r w:rsidRPr="00371514">
        <w:t xml:space="preserve"> proximity + admin_continued + disapproval_rate + unemp + party_alignment</w:t>
      </w:r>
    </w:p>
    <w:p w14:paraId="3B13F1D3" w14:textId="6165C025" w:rsidR="00BB731A" w:rsidRPr="00371514" w:rsidRDefault="00080DA7" w:rsidP="00856FFA">
      <w:r w:rsidRPr="00371514">
        <w:t>post_2008_3:</w:t>
      </w:r>
      <w:r w:rsidR="00BB731A" w:rsidRPr="00371514">
        <w:br/>
        <w:t>log_bal_diff ~ inflation_gap + output_gap + proximity + admin_continued + disapproval_rate + unemp + party_alignment</w:t>
      </w:r>
    </w:p>
    <w:p w14:paraId="4DDDC595" w14:textId="40C238AF" w:rsidR="00A37AB0" w:rsidRPr="00371514" w:rsidRDefault="004E6557" w:rsidP="00856FFA">
      <w:r w:rsidRPr="00371514">
        <w:t>Consistent</w:t>
      </w:r>
      <w:r w:rsidR="00A37AB0" w:rsidRPr="00371514">
        <w:t xml:space="preserve"> with </w:t>
      </w:r>
      <w:r w:rsidRPr="00371514">
        <w:t xml:space="preserve">findings made in the literature </w:t>
      </w:r>
      <w:r w:rsidR="00A37AB0" w:rsidRPr="00371514">
        <w:t xml:space="preserve">(e.g., Abrams and Iossifov 2006; Alpanda and Honig 2009), </w:t>
      </w:r>
      <w:r w:rsidRPr="00371514">
        <w:t>this</w:t>
      </w:r>
      <w:r w:rsidR="00A37AB0" w:rsidRPr="00371514">
        <w:t xml:space="preserve"> </w:t>
      </w:r>
      <w:r w:rsidRPr="00371514">
        <w:t xml:space="preserve">paper </w:t>
      </w:r>
      <w:r w:rsidR="00A37AB0" w:rsidRPr="00371514">
        <w:t>assumes that proximity to elections</w:t>
      </w:r>
      <w:r w:rsidR="00003A8E" w:rsidRPr="00371514">
        <w:t>,</w:t>
      </w:r>
      <w:r w:rsidR="00A37AB0" w:rsidRPr="00371514">
        <w:t xml:space="preserve"> presidential disapproval</w:t>
      </w:r>
      <w:r w:rsidR="00003A8E" w:rsidRPr="00371514">
        <w:t xml:space="preserve">, </w:t>
      </w:r>
      <w:r w:rsidR="00A37AB0" w:rsidRPr="00371514">
        <w:t xml:space="preserve"> are </w:t>
      </w:r>
      <w:r w:rsidRPr="00371514">
        <w:t xml:space="preserve">significantly </w:t>
      </w:r>
      <w:r w:rsidR="00A37AB0" w:rsidRPr="00371514">
        <w:t>indicative of political influence.</w:t>
      </w:r>
    </w:p>
    <w:p w14:paraId="6BABDBCD" w14:textId="22EC056E" w:rsidR="008C4004" w:rsidRPr="00371514" w:rsidRDefault="004E6557">
      <w:r w:rsidRPr="00371514">
        <w:t>In an effort to</w:t>
      </w:r>
      <w:r w:rsidR="00A37AB0" w:rsidRPr="00371514">
        <w:t xml:space="preserve"> increase confidence in </w:t>
      </w:r>
      <w:r w:rsidRPr="00371514">
        <w:t>the robustness of the</w:t>
      </w:r>
      <w:r w:rsidR="00C257C8" w:rsidRPr="00371514">
        <w:t xml:space="preserve"> findings</w:t>
      </w:r>
      <w:r w:rsidR="00A37AB0" w:rsidRPr="00371514">
        <w:t>, placebo tests are</w:t>
      </w:r>
      <w:r w:rsidRPr="00371514">
        <w:t xml:space="preserve"> also</w:t>
      </w:r>
      <w:r w:rsidR="00A37AB0" w:rsidRPr="00371514">
        <w:t xml:space="preserve"> conducted. These include using randomly shuffled disapproval rates and synthetic election proximity values to </w:t>
      </w:r>
      <w:r w:rsidR="00C257C8" w:rsidRPr="00371514">
        <w:t>make sure</w:t>
      </w:r>
      <w:r w:rsidR="00A37AB0" w:rsidRPr="00371514">
        <w:t xml:space="preserve"> that any observed significance is not </w:t>
      </w:r>
      <w:r w:rsidR="00C257C8" w:rsidRPr="00371514">
        <w:t>just a</w:t>
      </w:r>
      <w:r w:rsidR="00A37AB0" w:rsidRPr="00371514">
        <w:t xml:space="preserve"> statistical artifact.</w:t>
      </w:r>
    </w:p>
    <w:p w14:paraId="318CE506" w14:textId="053AD4C6" w:rsidR="008C4004" w:rsidRPr="00371514" w:rsidRDefault="008C4004">
      <w:r w:rsidRPr="00371514">
        <w:br w:type="page"/>
      </w:r>
    </w:p>
    <w:p w14:paraId="3D016F3F" w14:textId="2100D845" w:rsidR="008C4004" w:rsidRPr="00371514" w:rsidRDefault="008C4004" w:rsidP="00986B76">
      <w:pPr>
        <w:pStyle w:val="Heading2"/>
        <w:rPr>
          <w:color w:val="auto"/>
        </w:rPr>
      </w:pPr>
      <w:bookmarkStart w:id="9" w:name="_Toc208240154"/>
      <w:r w:rsidRPr="00371514">
        <w:rPr>
          <w:color w:val="auto"/>
        </w:rPr>
        <w:lastRenderedPageBreak/>
        <w:t>Findings</w:t>
      </w:r>
      <w:bookmarkEnd w:id="9"/>
    </w:p>
    <w:tbl>
      <w:tblPr>
        <w:tblStyle w:val="Table"/>
        <w:tblW w:w="5235" w:type="pct"/>
        <w:tblLayout w:type="fixed"/>
        <w:tblLook w:val="0060" w:firstRow="1" w:lastRow="1" w:firstColumn="0" w:lastColumn="0" w:noHBand="0" w:noVBand="0"/>
      </w:tblPr>
      <w:tblGrid>
        <w:gridCol w:w="1701"/>
        <w:gridCol w:w="1134"/>
        <w:gridCol w:w="1134"/>
        <w:gridCol w:w="1134"/>
        <w:gridCol w:w="1134"/>
        <w:gridCol w:w="1134"/>
        <w:gridCol w:w="993"/>
        <w:gridCol w:w="1134"/>
      </w:tblGrid>
      <w:tr w:rsidR="00371514" w:rsidRPr="00371514" w14:paraId="1144196A" w14:textId="77777777" w:rsidTr="002C4B79">
        <w:trPr>
          <w:cnfStyle w:val="100000000000" w:firstRow="1" w:lastRow="0" w:firstColumn="0" w:lastColumn="0" w:oddVBand="0" w:evenVBand="0" w:oddHBand="0" w:evenHBand="0" w:firstRowFirstColumn="0" w:firstRowLastColumn="0" w:lastRowFirstColumn="0" w:lastRowLastColumn="0"/>
          <w:tblHeader/>
        </w:trPr>
        <w:tc>
          <w:tcPr>
            <w:tcW w:w="1701" w:type="dxa"/>
          </w:tcPr>
          <w:p w14:paraId="653839F2" w14:textId="77777777" w:rsidR="00F13150" w:rsidRPr="00371514" w:rsidRDefault="00F13150" w:rsidP="00295C7A">
            <w:pPr>
              <w:pStyle w:val="Compact"/>
              <w:rPr>
                <w:rFonts w:ascii="Times New Roman" w:hAnsi="Times New Roman" w:cs="Times New Roman"/>
              </w:rPr>
            </w:pPr>
          </w:p>
        </w:tc>
        <w:tc>
          <w:tcPr>
            <w:tcW w:w="1134" w:type="dxa"/>
          </w:tcPr>
          <w:p w14:paraId="3913E5D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Pre-1979_1</w:t>
            </w:r>
          </w:p>
        </w:tc>
        <w:tc>
          <w:tcPr>
            <w:tcW w:w="1134" w:type="dxa"/>
          </w:tcPr>
          <w:p w14:paraId="4B6606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Pre-1979_2</w:t>
            </w:r>
          </w:p>
        </w:tc>
        <w:tc>
          <w:tcPr>
            <w:tcW w:w="1134" w:type="dxa"/>
          </w:tcPr>
          <w:p w14:paraId="241FFD88" w14:textId="3CA79D59"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1979-2008_1</w:t>
            </w:r>
          </w:p>
        </w:tc>
        <w:tc>
          <w:tcPr>
            <w:tcW w:w="1134" w:type="dxa"/>
          </w:tcPr>
          <w:p w14:paraId="7A4E051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1979-2008_2</w:t>
            </w:r>
          </w:p>
        </w:tc>
        <w:tc>
          <w:tcPr>
            <w:tcW w:w="1134" w:type="dxa"/>
          </w:tcPr>
          <w:p w14:paraId="1E258C5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Post-2008_1</w:t>
            </w:r>
          </w:p>
        </w:tc>
        <w:tc>
          <w:tcPr>
            <w:tcW w:w="993" w:type="dxa"/>
          </w:tcPr>
          <w:p w14:paraId="218672F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Post-2008_2</w:t>
            </w:r>
          </w:p>
        </w:tc>
        <w:tc>
          <w:tcPr>
            <w:tcW w:w="1134" w:type="dxa"/>
          </w:tcPr>
          <w:p w14:paraId="3DF5943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Post-2008_3</w:t>
            </w:r>
          </w:p>
        </w:tc>
      </w:tr>
      <w:tr w:rsidR="00371514" w:rsidRPr="00371514" w14:paraId="1722A929" w14:textId="77777777" w:rsidTr="002C4B79">
        <w:tc>
          <w:tcPr>
            <w:tcW w:w="1701" w:type="dxa"/>
          </w:tcPr>
          <w:p w14:paraId="7C8FAEA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(Intercept)</w:t>
            </w:r>
          </w:p>
        </w:tc>
        <w:tc>
          <w:tcPr>
            <w:tcW w:w="1134" w:type="dxa"/>
          </w:tcPr>
          <w:p w14:paraId="2F2C30E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4.179***</w:t>
            </w:r>
          </w:p>
        </w:tc>
        <w:tc>
          <w:tcPr>
            <w:tcW w:w="1134" w:type="dxa"/>
          </w:tcPr>
          <w:p w14:paraId="4D5C1D7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1.425***</w:t>
            </w:r>
          </w:p>
        </w:tc>
        <w:tc>
          <w:tcPr>
            <w:tcW w:w="1134" w:type="dxa"/>
          </w:tcPr>
          <w:p w14:paraId="61E2AC5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1.980***</w:t>
            </w:r>
          </w:p>
        </w:tc>
        <w:tc>
          <w:tcPr>
            <w:tcW w:w="1134" w:type="dxa"/>
          </w:tcPr>
          <w:p w14:paraId="4FF9ED6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0.905+</w:t>
            </w:r>
          </w:p>
        </w:tc>
        <w:tc>
          <w:tcPr>
            <w:tcW w:w="1134" w:type="dxa"/>
          </w:tcPr>
          <w:p w14:paraId="42156EE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-1.095</w:t>
            </w:r>
          </w:p>
        </w:tc>
        <w:tc>
          <w:tcPr>
            <w:tcW w:w="993" w:type="dxa"/>
          </w:tcPr>
          <w:p w14:paraId="4B4D19C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-1.494</w:t>
            </w:r>
          </w:p>
        </w:tc>
        <w:tc>
          <w:tcPr>
            <w:tcW w:w="1134" w:type="dxa"/>
          </w:tcPr>
          <w:p w14:paraId="67E3543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-0.031</w:t>
            </w:r>
          </w:p>
        </w:tc>
      </w:tr>
      <w:tr w:rsidR="00371514" w:rsidRPr="00371514" w14:paraId="46E90694" w14:textId="77777777" w:rsidTr="002C4B79">
        <w:tc>
          <w:tcPr>
            <w:tcW w:w="1701" w:type="dxa"/>
          </w:tcPr>
          <w:p w14:paraId="27C041F1" w14:textId="77777777" w:rsidR="00F13150" w:rsidRPr="00371514" w:rsidRDefault="00F13150" w:rsidP="00295C7A">
            <w:pPr>
              <w:pStyle w:val="Compact"/>
              <w:rPr>
                <w:rFonts w:ascii="Times New Roman" w:hAnsi="Times New Roman" w:cs="Times New Roman"/>
              </w:rPr>
            </w:pPr>
          </w:p>
        </w:tc>
        <w:tc>
          <w:tcPr>
            <w:tcW w:w="1134" w:type="dxa"/>
          </w:tcPr>
          <w:p w14:paraId="15AE8F4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(0.323)</w:t>
            </w:r>
          </w:p>
        </w:tc>
        <w:tc>
          <w:tcPr>
            <w:tcW w:w="1134" w:type="dxa"/>
          </w:tcPr>
          <w:p w14:paraId="64BC1AC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(0.267)</w:t>
            </w:r>
          </w:p>
        </w:tc>
        <w:tc>
          <w:tcPr>
            <w:tcW w:w="1134" w:type="dxa"/>
          </w:tcPr>
          <w:p w14:paraId="1F5CC2D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(0.532)</w:t>
            </w:r>
          </w:p>
        </w:tc>
        <w:tc>
          <w:tcPr>
            <w:tcW w:w="1134" w:type="dxa"/>
          </w:tcPr>
          <w:p w14:paraId="44AAF3C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(0.520)</w:t>
            </w:r>
          </w:p>
        </w:tc>
        <w:tc>
          <w:tcPr>
            <w:tcW w:w="1134" w:type="dxa"/>
          </w:tcPr>
          <w:p w14:paraId="6D567B3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(1.092)</w:t>
            </w:r>
          </w:p>
        </w:tc>
        <w:tc>
          <w:tcPr>
            <w:tcW w:w="993" w:type="dxa"/>
          </w:tcPr>
          <w:p w14:paraId="29C2FFF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(1.162)</w:t>
            </w:r>
          </w:p>
        </w:tc>
        <w:tc>
          <w:tcPr>
            <w:tcW w:w="1134" w:type="dxa"/>
          </w:tcPr>
          <w:p w14:paraId="38E1BBA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(0.022)</w:t>
            </w:r>
          </w:p>
        </w:tc>
      </w:tr>
      <w:tr w:rsidR="00371514" w:rsidRPr="00371514" w14:paraId="7B26E893" w14:textId="77777777" w:rsidTr="002C4B79">
        <w:tc>
          <w:tcPr>
            <w:tcW w:w="1701" w:type="dxa"/>
          </w:tcPr>
          <w:p w14:paraId="74AE40D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inflation_gap</w:t>
            </w:r>
          </w:p>
        </w:tc>
        <w:tc>
          <w:tcPr>
            <w:tcW w:w="1134" w:type="dxa"/>
          </w:tcPr>
          <w:p w14:paraId="5BFA799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0.066***</w:t>
            </w:r>
          </w:p>
        </w:tc>
        <w:tc>
          <w:tcPr>
            <w:tcW w:w="1134" w:type="dxa"/>
          </w:tcPr>
          <w:p w14:paraId="33171E2C" w14:textId="77777777" w:rsidR="00F13150" w:rsidRPr="00371514" w:rsidRDefault="00F13150" w:rsidP="00295C7A">
            <w:pPr>
              <w:pStyle w:val="Compact"/>
              <w:rPr>
                <w:rFonts w:ascii="Times New Roman" w:hAnsi="Times New Roman" w:cs="Times New Roman"/>
              </w:rPr>
            </w:pPr>
          </w:p>
        </w:tc>
        <w:tc>
          <w:tcPr>
            <w:tcW w:w="1134" w:type="dxa"/>
          </w:tcPr>
          <w:p w14:paraId="18ED5E0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0.091***</w:t>
            </w:r>
          </w:p>
        </w:tc>
        <w:tc>
          <w:tcPr>
            <w:tcW w:w="1134" w:type="dxa"/>
          </w:tcPr>
          <w:p w14:paraId="653DA097" w14:textId="77777777" w:rsidR="00F13150" w:rsidRPr="00371514" w:rsidRDefault="00F13150" w:rsidP="00295C7A">
            <w:pPr>
              <w:pStyle w:val="Compact"/>
              <w:rPr>
                <w:rFonts w:ascii="Times New Roman" w:hAnsi="Times New Roman" w:cs="Times New Roman"/>
              </w:rPr>
            </w:pPr>
          </w:p>
        </w:tc>
        <w:tc>
          <w:tcPr>
            <w:tcW w:w="1134" w:type="dxa"/>
          </w:tcPr>
          <w:p w14:paraId="08469D7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0.007</w:t>
            </w:r>
          </w:p>
        </w:tc>
        <w:tc>
          <w:tcPr>
            <w:tcW w:w="993" w:type="dxa"/>
          </w:tcPr>
          <w:p w14:paraId="1813CB8E" w14:textId="77777777" w:rsidR="00F13150" w:rsidRPr="00371514" w:rsidRDefault="00F13150" w:rsidP="00295C7A">
            <w:pPr>
              <w:pStyle w:val="Compact"/>
              <w:rPr>
                <w:rFonts w:ascii="Times New Roman" w:hAnsi="Times New Roman" w:cs="Times New Roman"/>
              </w:rPr>
            </w:pPr>
          </w:p>
        </w:tc>
        <w:tc>
          <w:tcPr>
            <w:tcW w:w="1134" w:type="dxa"/>
          </w:tcPr>
          <w:p w14:paraId="4A74BA9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0.000</w:t>
            </w:r>
          </w:p>
        </w:tc>
      </w:tr>
      <w:tr w:rsidR="00371514" w:rsidRPr="00371514" w14:paraId="2F083A72" w14:textId="77777777" w:rsidTr="002C4B79">
        <w:tc>
          <w:tcPr>
            <w:tcW w:w="1701" w:type="dxa"/>
          </w:tcPr>
          <w:p w14:paraId="1EB558AC" w14:textId="77777777" w:rsidR="00F13150" w:rsidRPr="00371514" w:rsidRDefault="00F13150" w:rsidP="00295C7A">
            <w:pPr>
              <w:pStyle w:val="Compact"/>
              <w:rPr>
                <w:rFonts w:ascii="Times New Roman" w:hAnsi="Times New Roman" w:cs="Times New Roman"/>
              </w:rPr>
            </w:pPr>
          </w:p>
        </w:tc>
        <w:tc>
          <w:tcPr>
            <w:tcW w:w="1134" w:type="dxa"/>
          </w:tcPr>
          <w:p w14:paraId="2E178F5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(0.002)</w:t>
            </w:r>
          </w:p>
        </w:tc>
        <w:tc>
          <w:tcPr>
            <w:tcW w:w="1134" w:type="dxa"/>
          </w:tcPr>
          <w:p w14:paraId="58E28958" w14:textId="77777777" w:rsidR="00F13150" w:rsidRPr="00371514" w:rsidRDefault="00F13150" w:rsidP="00295C7A">
            <w:pPr>
              <w:pStyle w:val="Compact"/>
              <w:rPr>
                <w:rFonts w:ascii="Times New Roman" w:hAnsi="Times New Roman" w:cs="Times New Roman"/>
              </w:rPr>
            </w:pPr>
          </w:p>
        </w:tc>
        <w:tc>
          <w:tcPr>
            <w:tcW w:w="1134" w:type="dxa"/>
          </w:tcPr>
          <w:p w14:paraId="05BBCA2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(0.004)</w:t>
            </w:r>
          </w:p>
        </w:tc>
        <w:tc>
          <w:tcPr>
            <w:tcW w:w="1134" w:type="dxa"/>
          </w:tcPr>
          <w:p w14:paraId="104774E4" w14:textId="77777777" w:rsidR="00F13150" w:rsidRPr="00371514" w:rsidRDefault="00F13150" w:rsidP="00295C7A">
            <w:pPr>
              <w:pStyle w:val="Compact"/>
              <w:rPr>
                <w:rFonts w:ascii="Times New Roman" w:hAnsi="Times New Roman" w:cs="Times New Roman"/>
              </w:rPr>
            </w:pPr>
          </w:p>
        </w:tc>
        <w:tc>
          <w:tcPr>
            <w:tcW w:w="1134" w:type="dxa"/>
          </w:tcPr>
          <w:p w14:paraId="205C1B2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(0.005)</w:t>
            </w:r>
          </w:p>
        </w:tc>
        <w:tc>
          <w:tcPr>
            <w:tcW w:w="993" w:type="dxa"/>
          </w:tcPr>
          <w:p w14:paraId="088B9113" w14:textId="77777777" w:rsidR="00F13150" w:rsidRPr="00371514" w:rsidRDefault="00F13150" w:rsidP="00295C7A">
            <w:pPr>
              <w:pStyle w:val="Compact"/>
              <w:rPr>
                <w:rFonts w:ascii="Times New Roman" w:hAnsi="Times New Roman" w:cs="Times New Roman"/>
              </w:rPr>
            </w:pPr>
          </w:p>
        </w:tc>
        <w:tc>
          <w:tcPr>
            <w:tcW w:w="1134" w:type="dxa"/>
          </w:tcPr>
          <w:p w14:paraId="6D4945D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(0.000)</w:t>
            </w:r>
          </w:p>
        </w:tc>
      </w:tr>
      <w:tr w:rsidR="00371514" w:rsidRPr="00371514" w14:paraId="05069DA5" w14:textId="77777777" w:rsidTr="002C4B79">
        <w:tc>
          <w:tcPr>
            <w:tcW w:w="1701" w:type="dxa"/>
          </w:tcPr>
          <w:p w14:paraId="69B6E0E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output_gap</w:t>
            </w:r>
          </w:p>
        </w:tc>
        <w:tc>
          <w:tcPr>
            <w:tcW w:w="1134" w:type="dxa"/>
          </w:tcPr>
          <w:p w14:paraId="27DE242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16.866***</w:t>
            </w:r>
          </w:p>
        </w:tc>
        <w:tc>
          <w:tcPr>
            <w:tcW w:w="1134" w:type="dxa"/>
          </w:tcPr>
          <w:p w14:paraId="101DD525" w14:textId="77777777" w:rsidR="00F13150" w:rsidRPr="00371514" w:rsidRDefault="00F13150" w:rsidP="00295C7A">
            <w:pPr>
              <w:pStyle w:val="Compact"/>
              <w:rPr>
                <w:rFonts w:ascii="Times New Roman" w:hAnsi="Times New Roman" w:cs="Times New Roman"/>
              </w:rPr>
            </w:pPr>
          </w:p>
        </w:tc>
        <w:tc>
          <w:tcPr>
            <w:tcW w:w="1134" w:type="dxa"/>
          </w:tcPr>
          <w:p w14:paraId="6386B24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41.560***</w:t>
            </w:r>
          </w:p>
        </w:tc>
        <w:tc>
          <w:tcPr>
            <w:tcW w:w="1134" w:type="dxa"/>
          </w:tcPr>
          <w:p w14:paraId="41720C5C" w14:textId="77777777" w:rsidR="00F13150" w:rsidRPr="00371514" w:rsidRDefault="00F13150" w:rsidP="00295C7A">
            <w:pPr>
              <w:pStyle w:val="Compact"/>
              <w:rPr>
                <w:rFonts w:ascii="Times New Roman" w:hAnsi="Times New Roman" w:cs="Times New Roman"/>
              </w:rPr>
            </w:pPr>
          </w:p>
        </w:tc>
        <w:tc>
          <w:tcPr>
            <w:tcW w:w="1134" w:type="dxa"/>
          </w:tcPr>
          <w:p w14:paraId="4F50F29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-14.234**</w:t>
            </w:r>
          </w:p>
        </w:tc>
        <w:tc>
          <w:tcPr>
            <w:tcW w:w="993" w:type="dxa"/>
          </w:tcPr>
          <w:p w14:paraId="6F77B4DD" w14:textId="77777777" w:rsidR="00F13150" w:rsidRPr="00371514" w:rsidRDefault="00F13150" w:rsidP="00295C7A">
            <w:pPr>
              <w:pStyle w:val="Compact"/>
              <w:rPr>
                <w:rFonts w:ascii="Times New Roman" w:hAnsi="Times New Roman" w:cs="Times New Roman"/>
              </w:rPr>
            </w:pPr>
          </w:p>
        </w:tc>
        <w:tc>
          <w:tcPr>
            <w:tcW w:w="1134" w:type="dxa"/>
          </w:tcPr>
          <w:p w14:paraId="5E6287F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-0.364***</w:t>
            </w:r>
          </w:p>
        </w:tc>
      </w:tr>
      <w:tr w:rsidR="00371514" w:rsidRPr="00371514" w14:paraId="7AF183B4" w14:textId="77777777" w:rsidTr="002C4B79">
        <w:tc>
          <w:tcPr>
            <w:tcW w:w="1701" w:type="dxa"/>
          </w:tcPr>
          <w:p w14:paraId="69DA7C09" w14:textId="77777777" w:rsidR="00F13150" w:rsidRPr="00371514" w:rsidRDefault="00F13150" w:rsidP="00295C7A">
            <w:pPr>
              <w:pStyle w:val="Compact"/>
              <w:rPr>
                <w:rFonts w:ascii="Times New Roman" w:hAnsi="Times New Roman" w:cs="Times New Roman"/>
              </w:rPr>
            </w:pPr>
          </w:p>
        </w:tc>
        <w:tc>
          <w:tcPr>
            <w:tcW w:w="1134" w:type="dxa"/>
          </w:tcPr>
          <w:p w14:paraId="7DD54ED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(2.108)</w:t>
            </w:r>
          </w:p>
        </w:tc>
        <w:tc>
          <w:tcPr>
            <w:tcW w:w="1134" w:type="dxa"/>
          </w:tcPr>
          <w:p w14:paraId="7B3E8BAF" w14:textId="77777777" w:rsidR="00F13150" w:rsidRPr="00371514" w:rsidRDefault="00F13150" w:rsidP="00295C7A">
            <w:pPr>
              <w:pStyle w:val="Compact"/>
              <w:rPr>
                <w:rFonts w:ascii="Times New Roman" w:hAnsi="Times New Roman" w:cs="Times New Roman"/>
              </w:rPr>
            </w:pPr>
          </w:p>
        </w:tc>
        <w:tc>
          <w:tcPr>
            <w:tcW w:w="1134" w:type="dxa"/>
          </w:tcPr>
          <w:p w14:paraId="2981A2E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(6.353)</w:t>
            </w:r>
          </w:p>
        </w:tc>
        <w:tc>
          <w:tcPr>
            <w:tcW w:w="1134" w:type="dxa"/>
          </w:tcPr>
          <w:p w14:paraId="6D5321CD" w14:textId="77777777" w:rsidR="00F13150" w:rsidRPr="00371514" w:rsidRDefault="00F13150" w:rsidP="00295C7A">
            <w:pPr>
              <w:pStyle w:val="Compact"/>
              <w:rPr>
                <w:rFonts w:ascii="Times New Roman" w:hAnsi="Times New Roman" w:cs="Times New Roman"/>
              </w:rPr>
            </w:pPr>
          </w:p>
        </w:tc>
        <w:tc>
          <w:tcPr>
            <w:tcW w:w="1134" w:type="dxa"/>
          </w:tcPr>
          <w:p w14:paraId="2944A3E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(4.790)</w:t>
            </w:r>
          </w:p>
        </w:tc>
        <w:tc>
          <w:tcPr>
            <w:tcW w:w="993" w:type="dxa"/>
          </w:tcPr>
          <w:p w14:paraId="49513E52" w14:textId="77777777" w:rsidR="00F13150" w:rsidRPr="00371514" w:rsidRDefault="00F13150" w:rsidP="00295C7A">
            <w:pPr>
              <w:pStyle w:val="Compact"/>
              <w:rPr>
                <w:rFonts w:ascii="Times New Roman" w:hAnsi="Times New Roman" w:cs="Times New Roman"/>
              </w:rPr>
            </w:pPr>
          </w:p>
        </w:tc>
        <w:tc>
          <w:tcPr>
            <w:tcW w:w="1134" w:type="dxa"/>
          </w:tcPr>
          <w:p w14:paraId="4CD0A25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(0.096)</w:t>
            </w:r>
          </w:p>
        </w:tc>
      </w:tr>
      <w:tr w:rsidR="00371514" w:rsidRPr="00371514" w14:paraId="690B8762" w14:textId="77777777" w:rsidTr="002C4B79">
        <w:tc>
          <w:tcPr>
            <w:tcW w:w="1701" w:type="dxa"/>
          </w:tcPr>
          <w:p w14:paraId="1E5679E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proximity</w:t>
            </w:r>
          </w:p>
        </w:tc>
        <w:tc>
          <w:tcPr>
            <w:tcW w:w="1134" w:type="dxa"/>
          </w:tcPr>
          <w:p w14:paraId="768EF01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0.312</w:t>
            </w:r>
          </w:p>
        </w:tc>
        <w:tc>
          <w:tcPr>
            <w:tcW w:w="1134" w:type="dxa"/>
          </w:tcPr>
          <w:p w14:paraId="649CF75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0.306</w:t>
            </w:r>
          </w:p>
        </w:tc>
        <w:tc>
          <w:tcPr>
            <w:tcW w:w="1134" w:type="dxa"/>
          </w:tcPr>
          <w:p w14:paraId="74C9E14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-0.203</w:t>
            </w:r>
          </w:p>
        </w:tc>
        <w:tc>
          <w:tcPr>
            <w:tcW w:w="1134" w:type="dxa"/>
          </w:tcPr>
          <w:p w14:paraId="7FD459B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-0.382</w:t>
            </w:r>
          </w:p>
        </w:tc>
        <w:tc>
          <w:tcPr>
            <w:tcW w:w="1134" w:type="dxa"/>
          </w:tcPr>
          <w:p w14:paraId="1083150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-0.164</w:t>
            </w:r>
          </w:p>
        </w:tc>
        <w:tc>
          <w:tcPr>
            <w:tcW w:w="993" w:type="dxa"/>
          </w:tcPr>
          <w:p w14:paraId="0FC9988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-0.005</w:t>
            </w:r>
          </w:p>
        </w:tc>
        <w:tc>
          <w:tcPr>
            <w:tcW w:w="1134" w:type="dxa"/>
          </w:tcPr>
          <w:p w14:paraId="43ECA89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-0.025*</w:t>
            </w:r>
          </w:p>
        </w:tc>
      </w:tr>
      <w:tr w:rsidR="00371514" w:rsidRPr="00371514" w14:paraId="5CA5F36B" w14:textId="77777777" w:rsidTr="002C4B79">
        <w:tc>
          <w:tcPr>
            <w:tcW w:w="1701" w:type="dxa"/>
          </w:tcPr>
          <w:p w14:paraId="7A55AA17" w14:textId="77777777" w:rsidR="00F13150" w:rsidRPr="00371514" w:rsidRDefault="00F13150" w:rsidP="00295C7A">
            <w:pPr>
              <w:pStyle w:val="Compact"/>
              <w:rPr>
                <w:rFonts w:ascii="Times New Roman" w:hAnsi="Times New Roman" w:cs="Times New Roman"/>
              </w:rPr>
            </w:pPr>
          </w:p>
        </w:tc>
        <w:tc>
          <w:tcPr>
            <w:tcW w:w="1134" w:type="dxa"/>
          </w:tcPr>
          <w:p w14:paraId="436B3F5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(0.324)</w:t>
            </w:r>
          </w:p>
        </w:tc>
        <w:tc>
          <w:tcPr>
            <w:tcW w:w="1134" w:type="dxa"/>
          </w:tcPr>
          <w:p w14:paraId="046A111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(0.332)</w:t>
            </w:r>
          </w:p>
        </w:tc>
        <w:tc>
          <w:tcPr>
            <w:tcW w:w="1134" w:type="dxa"/>
          </w:tcPr>
          <w:p w14:paraId="741DD44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(0.573)</w:t>
            </w:r>
          </w:p>
        </w:tc>
        <w:tc>
          <w:tcPr>
            <w:tcW w:w="1134" w:type="dxa"/>
          </w:tcPr>
          <w:p w14:paraId="3765817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(0.591)</w:t>
            </w:r>
          </w:p>
        </w:tc>
        <w:tc>
          <w:tcPr>
            <w:tcW w:w="1134" w:type="dxa"/>
          </w:tcPr>
          <w:p w14:paraId="4C2535D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(0.589)</w:t>
            </w:r>
          </w:p>
        </w:tc>
        <w:tc>
          <w:tcPr>
            <w:tcW w:w="993" w:type="dxa"/>
          </w:tcPr>
          <w:p w14:paraId="4A8FFB2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(0.627)</w:t>
            </w:r>
          </w:p>
        </w:tc>
        <w:tc>
          <w:tcPr>
            <w:tcW w:w="1134" w:type="dxa"/>
          </w:tcPr>
          <w:p w14:paraId="10A31D41"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(0.012)</w:t>
            </w:r>
          </w:p>
        </w:tc>
      </w:tr>
      <w:tr w:rsidR="00371514" w:rsidRPr="00371514" w14:paraId="6F7A0398" w14:textId="77777777" w:rsidTr="002C4B79">
        <w:tc>
          <w:tcPr>
            <w:tcW w:w="1701" w:type="dxa"/>
          </w:tcPr>
          <w:p w14:paraId="6578418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admin_continuedTRUE</w:t>
            </w:r>
          </w:p>
        </w:tc>
        <w:tc>
          <w:tcPr>
            <w:tcW w:w="1134" w:type="dxa"/>
          </w:tcPr>
          <w:p w14:paraId="517713A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-0.586**</w:t>
            </w:r>
          </w:p>
        </w:tc>
        <w:tc>
          <w:tcPr>
            <w:tcW w:w="1134" w:type="dxa"/>
          </w:tcPr>
          <w:p w14:paraId="603A340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-0.589**</w:t>
            </w:r>
          </w:p>
        </w:tc>
        <w:tc>
          <w:tcPr>
            <w:tcW w:w="1134" w:type="dxa"/>
          </w:tcPr>
          <w:p w14:paraId="33E9DCA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-0.699+</w:t>
            </w:r>
          </w:p>
        </w:tc>
        <w:tc>
          <w:tcPr>
            <w:tcW w:w="1134" w:type="dxa"/>
          </w:tcPr>
          <w:p w14:paraId="2DC21DA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-0.375</w:t>
            </w:r>
          </w:p>
        </w:tc>
        <w:tc>
          <w:tcPr>
            <w:tcW w:w="1134" w:type="dxa"/>
          </w:tcPr>
          <w:p w14:paraId="0AF756C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0.389</w:t>
            </w:r>
          </w:p>
        </w:tc>
        <w:tc>
          <w:tcPr>
            <w:tcW w:w="993" w:type="dxa"/>
          </w:tcPr>
          <w:p w14:paraId="4DC7AC2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0.563</w:t>
            </w:r>
          </w:p>
        </w:tc>
        <w:tc>
          <w:tcPr>
            <w:tcW w:w="1134" w:type="dxa"/>
          </w:tcPr>
          <w:p w14:paraId="002390E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0.008</w:t>
            </w:r>
          </w:p>
        </w:tc>
      </w:tr>
      <w:tr w:rsidR="00371514" w:rsidRPr="00371514" w14:paraId="3C68D2A9" w14:textId="77777777" w:rsidTr="002C4B79">
        <w:tc>
          <w:tcPr>
            <w:tcW w:w="1701" w:type="dxa"/>
          </w:tcPr>
          <w:p w14:paraId="36E8C1BA" w14:textId="77777777" w:rsidR="00F13150" w:rsidRPr="00371514" w:rsidRDefault="00F13150" w:rsidP="00295C7A">
            <w:pPr>
              <w:pStyle w:val="Compact"/>
              <w:rPr>
                <w:rFonts w:ascii="Times New Roman" w:hAnsi="Times New Roman" w:cs="Times New Roman"/>
              </w:rPr>
            </w:pPr>
          </w:p>
        </w:tc>
        <w:tc>
          <w:tcPr>
            <w:tcW w:w="1134" w:type="dxa"/>
          </w:tcPr>
          <w:p w14:paraId="1A5CC6D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(0.189)</w:t>
            </w:r>
          </w:p>
        </w:tc>
        <w:tc>
          <w:tcPr>
            <w:tcW w:w="1134" w:type="dxa"/>
          </w:tcPr>
          <w:p w14:paraId="744466B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(0.195)</w:t>
            </w:r>
          </w:p>
        </w:tc>
        <w:tc>
          <w:tcPr>
            <w:tcW w:w="1134" w:type="dxa"/>
          </w:tcPr>
          <w:p w14:paraId="7F25610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(0.367)</w:t>
            </w:r>
          </w:p>
        </w:tc>
        <w:tc>
          <w:tcPr>
            <w:tcW w:w="1134" w:type="dxa"/>
          </w:tcPr>
          <w:p w14:paraId="5809498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(0.372)</w:t>
            </w:r>
          </w:p>
        </w:tc>
        <w:tc>
          <w:tcPr>
            <w:tcW w:w="1134" w:type="dxa"/>
          </w:tcPr>
          <w:p w14:paraId="77577C9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(0.371)</w:t>
            </w:r>
          </w:p>
        </w:tc>
        <w:tc>
          <w:tcPr>
            <w:tcW w:w="993" w:type="dxa"/>
          </w:tcPr>
          <w:p w14:paraId="72547D6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(0.393)</w:t>
            </w:r>
          </w:p>
        </w:tc>
        <w:tc>
          <w:tcPr>
            <w:tcW w:w="1134" w:type="dxa"/>
          </w:tcPr>
          <w:p w14:paraId="2E5CE27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(0.007)</w:t>
            </w:r>
          </w:p>
        </w:tc>
      </w:tr>
      <w:tr w:rsidR="00371514" w:rsidRPr="00371514" w14:paraId="45D76F51" w14:textId="77777777" w:rsidTr="002C4B79">
        <w:tc>
          <w:tcPr>
            <w:tcW w:w="1701" w:type="dxa"/>
          </w:tcPr>
          <w:p w14:paraId="1C6678A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disapproval_rate</w:t>
            </w:r>
          </w:p>
        </w:tc>
        <w:tc>
          <w:tcPr>
            <w:tcW w:w="1134" w:type="dxa"/>
          </w:tcPr>
          <w:p w14:paraId="222FA80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-0.000</w:t>
            </w:r>
          </w:p>
        </w:tc>
        <w:tc>
          <w:tcPr>
            <w:tcW w:w="1134" w:type="dxa"/>
          </w:tcPr>
          <w:p w14:paraId="194D52E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0.004</w:t>
            </w:r>
          </w:p>
        </w:tc>
        <w:tc>
          <w:tcPr>
            <w:tcW w:w="1134" w:type="dxa"/>
          </w:tcPr>
          <w:p w14:paraId="467263A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-0.049***</w:t>
            </w:r>
          </w:p>
        </w:tc>
        <w:tc>
          <w:tcPr>
            <w:tcW w:w="1134" w:type="dxa"/>
          </w:tcPr>
          <w:p w14:paraId="2D64C6B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-0.044***</w:t>
            </w:r>
          </w:p>
        </w:tc>
        <w:tc>
          <w:tcPr>
            <w:tcW w:w="1134" w:type="dxa"/>
          </w:tcPr>
          <w:p w14:paraId="0E275EC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0.073***</w:t>
            </w:r>
          </w:p>
        </w:tc>
        <w:tc>
          <w:tcPr>
            <w:tcW w:w="993" w:type="dxa"/>
          </w:tcPr>
          <w:p w14:paraId="176BB00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0.038*</w:t>
            </w:r>
          </w:p>
        </w:tc>
        <w:tc>
          <w:tcPr>
            <w:tcW w:w="1134" w:type="dxa"/>
          </w:tcPr>
          <w:p w14:paraId="194D4ED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0.000</w:t>
            </w:r>
          </w:p>
        </w:tc>
      </w:tr>
      <w:tr w:rsidR="00371514" w:rsidRPr="00371514" w14:paraId="33E18AA9" w14:textId="77777777" w:rsidTr="002C4B79">
        <w:tc>
          <w:tcPr>
            <w:tcW w:w="1701" w:type="dxa"/>
          </w:tcPr>
          <w:p w14:paraId="74D65A01" w14:textId="77777777" w:rsidR="00F13150" w:rsidRPr="00371514" w:rsidRDefault="00F13150" w:rsidP="00295C7A">
            <w:pPr>
              <w:pStyle w:val="Compact"/>
              <w:rPr>
                <w:rFonts w:ascii="Times New Roman" w:hAnsi="Times New Roman" w:cs="Times New Roman"/>
              </w:rPr>
            </w:pPr>
          </w:p>
        </w:tc>
        <w:tc>
          <w:tcPr>
            <w:tcW w:w="1134" w:type="dxa"/>
          </w:tcPr>
          <w:p w14:paraId="5E47C19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(0.006)</w:t>
            </w:r>
          </w:p>
        </w:tc>
        <w:tc>
          <w:tcPr>
            <w:tcW w:w="1134" w:type="dxa"/>
          </w:tcPr>
          <w:p w14:paraId="01D98C0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(0.004)</w:t>
            </w:r>
          </w:p>
        </w:tc>
        <w:tc>
          <w:tcPr>
            <w:tcW w:w="1134" w:type="dxa"/>
          </w:tcPr>
          <w:p w14:paraId="11DEA74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(0.008)</w:t>
            </w:r>
          </w:p>
        </w:tc>
        <w:tc>
          <w:tcPr>
            <w:tcW w:w="1134" w:type="dxa"/>
          </w:tcPr>
          <w:p w14:paraId="25C4903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(0.008)</w:t>
            </w:r>
          </w:p>
        </w:tc>
        <w:tc>
          <w:tcPr>
            <w:tcW w:w="1134" w:type="dxa"/>
          </w:tcPr>
          <w:p w14:paraId="00DC44C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(0.019)</w:t>
            </w:r>
          </w:p>
        </w:tc>
        <w:tc>
          <w:tcPr>
            <w:tcW w:w="993" w:type="dxa"/>
          </w:tcPr>
          <w:p w14:paraId="1D482B4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(0.019)</w:t>
            </w:r>
          </w:p>
        </w:tc>
        <w:tc>
          <w:tcPr>
            <w:tcW w:w="1134" w:type="dxa"/>
          </w:tcPr>
          <w:p w14:paraId="74B08B6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(0.000)</w:t>
            </w:r>
          </w:p>
        </w:tc>
      </w:tr>
      <w:tr w:rsidR="00371514" w:rsidRPr="00371514" w14:paraId="16F65BC9" w14:textId="77777777" w:rsidTr="002C4B79">
        <w:tc>
          <w:tcPr>
            <w:tcW w:w="1701" w:type="dxa"/>
          </w:tcPr>
          <w:p w14:paraId="6E913E2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unemp</w:t>
            </w:r>
          </w:p>
        </w:tc>
        <w:tc>
          <w:tcPr>
            <w:tcW w:w="1134" w:type="dxa"/>
          </w:tcPr>
          <w:p w14:paraId="550A1FF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-0.498***</w:t>
            </w:r>
          </w:p>
        </w:tc>
        <w:tc>
          <w:tcPr>
            <w:tcW w:w="1134" w:type="dxa"/>
          </w:tcPr>
          <w:p w14:paraId="0078C011"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-0.354***</w:t>
            </w:r>
          </w:p>
        </w:tc>
        <w:tc>
          <w:tcPr>
            <w:tcW w:w="1134" w:type="dxa"/>
          </w:tcPr>
          <w:p w14:paraId="336CF94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0.546***</w:t>
            </w:r>
          </w:p>
        </w:tc>
        <w:tc>
          <w:tcPr>
            <w:tcW w:w="1134" w:type="dxa"/>
          </w:tcPr>
          <w:p w14:paraId="76A4265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0.357***</w:t>
            </w:r>
          </w:p>
        </w:tc>
        <w:tc>
          <w:tcPr>
            <w:tcW w:w="1134" w:type="dxa"/>
          </w:tcPr>
          <w:p w14:paraId="125F74C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-0.315***</w:t>
            </w:r>
          </w:p>
        </w:tc>
        <w:tc>
          <w:tcPr>
            <w:tcW w:w="993" w:type="dxa"/>
          </w:tcPr>
          <w:p w14:paraId="73104C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-0.160**</w:t>
            </w:r>
          </w:p>
        </w:tc>
        <w:tc>
          <w:tcPr>
            <w:tcW w:w="1134" w:type="dxa"/>
          </w:tcPr>
          <w:p w14:paraId="535FA2D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0.003**</w:t>
            </w:r>
          </w:p>
        </w:tc>
      </w:tr>
      <w:tr w:rsidR="00371514" w:rsidRPr="00371514" w14:paraId="7BC07726" w14:textId="77777777" w:rsidTr="002C4B79">
        <w:tc>
          <w:tcPr>
            <w:tcW w:w="1701" w:type="dxa"/>
          </w:tcPr>
          <w:p w14:paraId="042BED6A" w14:textId="77777777" w:rsidR="00F13150" w:rsidRPr="00371514" w:rsidRDefault="00F13150" w:rsidP="00295C7A">
            <w:pPr>
              <w:pStyle w:val="Compact"/>
              <w:rPr>
                <w:rFonts w:ascii="Times New Roman" w:hAnsi="Times New Roman" w:cs="Times New Roman"/>
              </w:rPr>
            </w:pPr>
          </w:p>
        </w:tc>
        <w:tc>
          <w:tcPr>
            <w:tcW w:w="1134" w:type="dxa"/>
          </w:tcPr>
          <w:p w14:paraId="243FA23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(0.055)</w:t>
            </w:r>
          </w:p>
        </w:tc>
        <w:tc>
          <w:tcPr>
            <w:tcW w:w="1134" w:type="dxa"/>
          </w:tcPr>
          <w:p w14:paraId="3840213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(0.044)</w:t>
            </w:r>
          </w:p>
        </w:tc>
        <w:tc>
          <w:tcPr>
            <w:tcW w:w="1134" w:type="dxa"/>
          </w:tcPr>
          <w:p w14:paraId="0F46AB5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(0.082)</w:t>
            </w:r>
          </w:p>
        </w:tc>
        <w:tc>
          <w:tcPr>
            <w:tcW w:w="1134" w:type="dxa"/>
          </w:tcPr>
          <w:p w14:paraId="2527440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(0.069)</w:t>
            </w:r>
          </w:p>
        </w:tc>
        <w:tc>
          <w:tcPr>
            <w:tcW w:w="1134" w:type="dxa"/>
          </w:tcPr>
          <w:p w14:paraId="6E6A89B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(0.063)</w:t>
            </w:r>
          </w:p>
        </w:tc>
        <w:tc>
          <w:tcPr>
            <w:tcW w:w="993" w:type="dxa"/>
          </w:tcPr>
          <w:p w14:paraId="0831963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(0.059)</w:t>
            </w:r>
          </w:p>
        </w:tc>
        <w:tc>
          <w:tcPr>
            <w:tcW w:w="1134" w:type="dxa"/>
          </w:tcPr>
          <w:p w14:paraId="715C449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(0.001)</w:t>
            </w:r>
          </w:p>
        </w:tc>
      </w:tr>
      <w:tr w:rsidR="00371514" w:rsidRPr="00371514" w14:paraId="4EDFA9E8" w14:textId="77777777" w:rsidTr="002C4B79">
        <w:tc>
          <w:tcPr>
            <w:tcW w:w="1701" w:type="dxa"/>
          </w:tcPr>
          <w:p w14:paraId="21A7D76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party_alignmentTRUE</w:t>
            </w:r>
          </w:p>
        </w:tc>
        <w:tc>
          <w:tcPr>
            <w:tcW w:w="1134" w:type="dxa"/>
          </w:tcPr>
          <w:p w14:paraId="3F005CB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0.627***</w:t>
            </w:r>
          </w:p>
        </w:tc>
        <w:tc>
          <w:tcPr>
            <w:tcW w:w="1134" w:type="dxa"/>
          </w:tcPr>
          <w:p w14:paraId="0BF1DC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0.688***</w:t>
            </w:r>
          </w:p>
        </w:tc>
        <w:tc>
          <w:tcPr>
            <w:tcW w:w="1134" w:type="dxa"/>
          </w:tcPr>
          <w:p w14:paraId="58B09C2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-2.314***</w:t>
            </w:r>
          </w:p>
        </w:tc>
        <w:tc>
          <w:tcPr>
            <w:tcW w:w="1134" w:type="dxa"/>
          </w:tcPr>
          <w:p w14:paraId="0A62A14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-2.457***</w:t>
            </w:r>
          </w:p>
        </w:tc>
        <w:tc>
          <w:tcPr>
            <w:tcW w:w="1134" w:type="dxa"/>
          </w:tcPr>
          <w:p w14:paraId="04D16A2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0.377</w:t>
            </w:r>
          </w:p>
        </w:tc>
        <w:tc>
          <w:tcPr>
            <w:tcW w:w="993" w:type="dxa"/>
          </w:tcPr>
          <w:p w14:paraId="70E2E3D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0.738**</w:t>
            </w:r>
          </w:p>
        </w:tc>
        <w:tc>
          <w:tcPr>
            <w:tcW w:w="1134" w:type="dxa"/>
          </w:tcPr>
          <w:p w14:paraId="4B4C72D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0.003</w:t>
            </w:r>
          </w:p>
        </w:tc>
      </w:tr>
      <w:tr w:rsidR="00371514" w:rsidRPr="00371514" w14:paraId="6E730DC4" w14:textId="77777777" w:rsidTr="002C4B79">
        <w:tc>
          <w:tcPr>
            <w:tcW w:w="1701" w:type="dxa"/>
          </w:tcPr>
          <w:p w14:paraId="7585FB66" w14:textId="77777777" w:rsidR="00F13150" w:rsidRPr="00371514" w:rsidRDefault="00F13150" w:rsidP="00295C7A">
            <w:pPr>
              <w:pStyle w:val="Compact"/>
              <w:rPr>
                <w:rFonts w:ascii="Times New Roman" w:hAnsi="Times New Roman" w:cs="Times New Roman"/>
              </w:rPr>
            </w:pPr>
          </w:p>
        </w:tc>
        <w:tc>
          <w:tcPr>
            <w:tcW w:w="1134" w:type="dxa"/>
          </w:tcPr>
          <w:p w14:paraId="300A7B41"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(0.122)</w:t>
            </w:r>
          </w:p>
        </w:tc>
        <w:tc>
          <w:tcPr>
            <w:tcW w:w="1134" w:type="dxa"/>
          </w:tcPr>
          <w:p w14:paraId="1D27488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(0.125)</w:t>
            </w:r>
          </w:p>
        </w:tc>
        <w:tc>
          <w:tcPr>
            <w:tcW w:w="1134" w:type="dxa"/>
          </w:tcPr>
          <w:p w14:paraId="07171E3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(0.203)</w:t>
            </w:r>
          </w:p>
        </w:tc>
        <w:tc>
          <w:tcPr>
            <w:tcW w:w="1134" w:type="dxa"/>
          </w:tcPr>
          <w:p w14:paraId="1CEE16E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(0.203)</w:t>
            </w:r>
          </w:p>
        </w:tc>
        <w:tc>
          <w:tcPr>
            <w:tcW w:w="1134" w:type="dxa"/>
          </w:tcPr>
          <w:p w14:paraId="74F1018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(0.255)</w:t>
            </w:r>
          </w:p>
        </w:tc>
        <w:tc>
          <w:tcPr>
            <w:tcW w:w="993" w:type="dxa"/>
          </w:tcPr>
          <w:p w14:paraId="5CD50DB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(0.260)</w:t>
            </w:r>
          </w:p>
        </w:tc>
        <w:tc>
          <w:tcPr>
            <w:tcW w:w="1134" w:type="dxa"/>
          </w:tcPr>
          <w:p w14:paraId="747CAFD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(0.005)</w:t>
            </w:r>
          </w:p>
        </w:tc>
      </w:tr>
      <w:tr w:rsidR="00371514" w:rsidRPr="00371514" w14:paraId="4DE27488" w14:textId="77777777" w:rsidTr="002C4B79">
        <w:tc>
          <w:tcPr>
            <w:tcW w:w="1701" w:type="dxa"/>
          </w:tcPr>
          <w:p w14:paraId="4EE414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Num.Obs.</w:t>
            </w:r>
          </w:p>
        </w:tc>
        <w:tc>
          <w:tcPr>
            <w:tcW w:w="1134" w:type="dxa"/>
          </w:tcPr>
          <w:p w14:paraId="1EFF25B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278</w:t>
            </w:r>
          </w:p>
        </w:tc>
        <w:tc>
          <w:tcPr>
            <w:tcW w:w="1134" w:type="dxa"/>
          </w:tcPr>
          <w:p w14:paraId="3D5783A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278</w:t>
            </w:r>
          </w:p>
        </w:tc>
        <w:tc>
          <w:tcPr>
            <w:tcW w:w="1134" w:type="dxa"/>
          </w:tcPr>
          <w:p w14:paraId="616255C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340</w:t>
            </w:r>
          </w:p>
        </w:tc>
        <w:tc>
          <w:tcPr>
            <w:tcW w:w="1134" w:type="dxa"/>
          </w:tcPr>
          <w:p w14:paraId="1482021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340</w:t>
            </w:r>
          </w:p>
        </w:tc>
        <w:tc>
          <w:tcPr>
            <w:tcW w:w="1134" w:type="dxa"/>
          </w:tcPr>
          <w:p w14:paraId="5A97392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191</w:t>
            </w:r>
          </w:p>
        </w:tc>
        <w:tc>
          <w:tcPr>
            <w:tcW w:w="993" w:type="dxa"/>
          </w:tcPr>
          <w:p w14:paraId="767825E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191</w:t>
            </w:r>
          </w:p>
        </w:tc>
        <w:tc>
          <w:tcPr>
            <w:tcW w:w="1134" w:type="dxa"/>
          </w:tcPr>
          <w:p w14:paraId="7A5299C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191</w:t>
            </w:r>
          </w:p>
        </w:tc>
      </w:tr>
      <w:tr w:rsidR="00371514" w:rsidRPr="00371514" w14:paraId="73952634" w14:textId="77777777" w:rsidTr="002C4B79">
        <w:tc>
          <w:tcPr>
            <w:tcW w:w="1701" w:type="dxa"/>
          </w:tcPr>
          <w:p w14:paraId="039D6E63"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R2</w:t>
            </w:r>
          </w:p>
        </w:tc>
        <w:tc>
          <w:tcPr>
            <w:tcW w:w="1134" w:type="dxa"/>
          </w:tcPr>
          <w:p w14:paraId="49A06B6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0.900</w:t>
            </w:r>
          </w:p>
        </w:tc>
        <w:tc>
          <w:tcPr>
            <w:tcW w:w="1134" w:type="dxa"/>
          </w:tcPr>
          <w:p w14:paraId="2A466641"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0.274</w:t>
            </w:r>
          </w:p>
        </w:tc>
        <w:tc>
          <w:tcPr>
            <w:tcW w:w="1134" w:type="dxa"/>
          </w:tcPr>
          <w:p w14:paraId="69CD98C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0.784</w:t>
            </w:r>
          </w:p>
        </w:tc>
        <w:tc>
          <w:tcPr>
            <w:tcW w:w="1134" w:type="dxa"/>
          </w:tcPr>
          <w:p w14:paraId="0F6B5AA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0.468</w:t>
            </w:r>
          </w:p>
        </w:tc>
        <w:tc>
          <w:tcPr>
            <w:tcW w:w="1134" w:type="dxa"/>
          </w:tcPr>
          <w:p w14:paraId="2482316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0.448</w:t>
            </w:r>
          </w:p>
        </w:tc>
        <w:tc>
          <w:tcPr>
            <w:tcW w:w="993" w:type="dxa"/>
          </w:tcPr>
          <w:p w14:paraId="31AF249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0.300</w:t>
            </w:r>
          </w:p>
        </w:tc>
        <w:tc>
          <w:tcPr>
            <w:tcW w:w="1134" w:type="dxa"/>
          </w:tcPr>
          <w:p w14:paraId="271BE10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0.217</w:t>
            </w:r>
          </w:p>
        </w:tc>
      </w:tr>
      <w:tr w:rsidR="00371514" w:rsidRPr="00371514" w14:paraId="5723B91D" w14:textId="77777777" w:rsidTr="002C4B79">
        <w:tc>
          <w:tcPr>
            <w:tcW w:w="1701" w:type="dxa"/>
          </w:tcPr>
          <w:p w14:paraId="3BE7967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R2 Adj.</w:t>
            </w:r>
          </w:p>
        </w:tc>
        <w:tc>
          <w:tcPr>
            <w:tcW w:w="1134" w:type="dxa"/>
          </w:tcPr>
          <w:p w14:paraId="3E8463E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0.897</w:t>
            </w:r>
          </w:p>
        </w:tc>
        <w:tc>
          <w:tcPr>
            <w:tcW w:w="1134" w:type="dxa"/>
          </w:tcPr>
          <w:p w14:paraId="77F9FE8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0.261</w:t>
            </w:r>
          </w:p>
        </w:tc>
        <w:tc>
          <w:tcPr>
            <w:tcW w:w="1134" w:type="dxa"/>
          </w:tcPr>
          <w:p w14:paraId="4CA701F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0.779</w:t>
            </w:r>
          </w:p>
        </w:tc>
        <w:tc>
          <w:tcPr>
            <w:tcW w:w="1134" w:type="dxa"/>
          </w:tcPr>
          <w:p w14:paraId="3E03817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0.460</w:t>
            </w:r>
          </w:p>
        </w:tc>
        <w:tc>
          <w:tcPr>
            <w:tcW w:w="1134" w:type="dxa"/>
          </w:tcPr>
          <w:p w14:paraId="278A0A5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0.427</w:t>
            </w:r>
          </w:p>
        </w:tc>
        <w:tc>
          <w:tcPr>
            <w:tcW w:w="993" w:type="dxa"/>
          </w:tcPr>
          <w:p w14:paraId="75BCA01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0.281</w:t>
            </w:r>
          </w:p>
        </w:tc>
        <w:tc>
          <w:tcPr>
            <w:tcW w:w="1134" w:type="dxa"/>
          </w:tcPr>
          <w:p w14:paraId="6055D04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0.187</w:t>
            </w:r>
          </w:p>
        </w:tc>
      </w:tr>
      <w:tr w:rsidR="00371514" w:rsidRPr="00371514" w14:paraId="7C662389" w14:textId="77777777" w:rsidTr="002C4B79">
        <w:tc>
          <w:tcPr>
            <w:tcW w:w="1701" w:type="dxa"/>
          </w:tcPr>
          <w:p w14:paraId="1081636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AIC</w:t>
            </w:r>
          </w:p>
        </w:tc>
        <w:tc>
          <w:tcPr>
            <w:tcW w:w="1134" w:type="dxa"/>
          </w:tcPr>
          <w:p w14:paraId="4ECF4667"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723.3</w:t>
            </w:r>
          </w:p>
        </w:tc>
        <w:tc>
          <w:tcPr>
            <w:tcW w:w="1134" w:type="dxa"/>
          </w:tcPr>
          <w:p w14:paraId="00CCAB0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739.8</w:t>
            </w:r>
          </w:p>
        </w:tc>
        <w:tc>
          <w:tcPr>
            <w:tcW w:w="1134" w:type="dxa"/>
          </w:tcPr>
          <w:p w14:paraId="46CAA5B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1348.6</w:t>
            </w:r>
          </w:p>
        </w:tc>
        <w:tc>
          <w:tcPr>
            <w:tcW w:w="1134" w:type="dxa"/>
          </w:tcPr>
          <w:p w14:paraId="6744BD8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1369.2</w:t>
            </w:r>
          </w:p>
        </w:tc>
        <w:tc>
          <w:tcPr>
            <w:tcW w:w="1134" w:type="dxa"/>
          </w:tcPr>
          <w:p w14:paraId="53275A4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645.3</w:t>
            </w:r>
          </w:p>
        </w:tc>
        <w:tc>
          <w:tcPr>
            <w:tcW w:w="993" w:type="dxa"/>
          </w:tcPr>
          <w:p w14:paraId="27C024A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667.5</w:t>
            </w:r>
          </w:p>
        </w:tc>
        <w:tc>
          <w:tcPr>
            <w:tcW w:w="1134" w:type="dxa"/>
          </w:tcPr>
          <w:p w14:paraId="114AC4A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-850.1</w:t>
            </w:r>
          </w:p>
        </w:tc>
      </w:tr>
      <w:tr w:rsidR="00371514" w:rsidRPr="00371514" w14:paraId="6DB1E93B" w14:textId="77777777" w:rsidTr="002C4B79">
        <w:tc>
          <w:tcPr>
            <w:tcW w:w="1701" w:type="dxa"/>
          </w:tcPr>
          <w:p w14:paraId="756E30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BIC</w:t>
            </w:r>
          </w:p>
        </w:tc>
        <w:tc>
          <w:tcPr>
            <w:tcW w:w="1134" w:type="dxa"/>
          </w:tcPr>
          <w:p w14:paraId="1F5360B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756.0</w:t>
            </w:r>
          </w:p>
        </w:tc>
        <w:tc>
          <w:tcPr>
            <w:tcW w:w="1134" w:type="dxa"/>
          </w:tcPr>
          <w:p w14:paraId="5CB265D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765.2</w:t>
            </w:r>
          </w:p>
        </w:tc>
        <w:tc>
          <w:tcPr>
            <w:tcW w:w="1134" w:type="dxa"/>
          </w:tcPr>
          <w:p w14:paraId="42FA7BC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1383.0</w:t>
            </w:r>
          </w:p>
        </w:tc>
        <w:tc>
          <w:tcPr>
            <w:tcW w:w="1134" w:type="dxa"/>
          </w:tcPr>
          <w:p w14:paraId="1E6BF08B"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1396.0</w:t>
            </w:r>
          </w:p>
        </w:tc>
        <w:tc>
          <w:tcPr>
            <w:tcW w:w="1134" w:type="dxa"/>
          </w:tcPr>
          <w:p w14:paraId="2DF7B72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674.6</w:t>
            </w:r>
          </w:p>
        </w:tc>
        <w:tc>
          <w:tcPr>
            <w:tcW w:w="993" w:type="dxa"/>
          </w:tcPr>
          <w:p w14:paraId="1339FE8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690.3</w:t>
            </w:r>
          </w:p>
        </w:tc>
        <w:tc>
          <w:tcPr>
            <w:tcW w:w="1134" w:type="dxa"/>
          </w:tcPr>
          <w:p w14:paraId="32E74795"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-820.9</w:t>
            </w:r>
          </w:p>
        </w:tc>
      </w:tr>
      <w:tr w:rsidR="00371514" w:rsidRPr="00371514" w14:paraId="34FEEFD2" w14:textId="77777777" w:rsidTr="002C4B79">
        <w:tc>
          <w:tcPr>
            <w:tcW w:w="1701" w:type="dxa"/>
          </w:tcPr>
          <w:p w14:paraId="5D4D6EE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Log.Lik.</w:t>
            </w:r>
          </w:p>
        </w:tc>
        <w:tc>
          <w:tcPr>
            <w:tcW w:w="1134" w:type="dxa"/>
          </w:tcPr>
          <w:p w14:paraId="7EA5428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-352.655</w:t>
            </w:r>
          </w:p>
        </w:tc>
        <w:tc>
          <w:tcPr>
            <w:tcW w:w="1134" w:type="dxa"/>
          </w:tcPr>
          <w:p w14:paraId="24F70DD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-362.919</w:t>
            </w:r>
          </w:p>
        </w:tc>
        <w:tc>
          <w:tcPr>
            <w:tcW w:w="1134" w:type="dxa"/>
          </w:tcPr>
          <w:p w14:paraId="34DBADD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-665.292</w:t>
            </w:r>
          </w:p>
        </w:tc>
        <w:tc>
          <w:tcPr>
            <w:tcW w:w="1134" w:type="dxa"/>
          </w:tcPr>
          <w:p w14:paraId="6AA86FF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-677.623</w:t>
            </w:r>
          </w:p>
        </w:tc>
        <w:tc>
          <w:tcPr>
            <w:tcW w:w="1134" w:type="dxa"/>
          </w:tcPr>
          <w:p w14:paraId="5ADD0BC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-313.651</w:t>
            </w:r>
          </w:p>
        </w:tc>
        <w:tc>
          <w:tcPr>
            <w:tcW w:w="993" w:type="dxa"/>
          </w:tcPr>
          <w:p w14:paraId="6D1AE84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-326.755</w:t>
            </w:r>
          </w:p>
        </w:tc>
        <w:tc>
          <w:tcPr>
            <w:tcW w:w="1134" w:type="dxa"/>
          </w:tcPr>
          <w:p w14:paraId="3C4EC59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434.073</w:t>
            </w:r>
          </w:p>
        </w:tc>
      </w:tr>
      <w:tr w:rsidR="00371514" w:rsidRPr="00371514" w14:paraId="4A5999BD" w14:textId="77777777" w:rsidTr="002C4B79">
        <w:tc>
          <w:tcPr>
            <w:tcW w:w="1701" w:type="dxa"/>
          </w:tcPr>
          <w:p w14:paraId="33432D72"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F</w:t>
            </w:r>
          </w:p>
        </w:tc>
        <w:tc>
          <w:tcPr>
            <w:tcW w:w="1134" w:type="dxa"/>
          </w:tcPr>
          <w:p w14:paraId="3333464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346.518</w:t>
            </w:r>
          </w:p>
        </w:tc>
        <w:tc>
          <w:tcPr>
            <w:tcW w:w="1134" w:type="dxa"/>
          </w:tcPr>
          <w:p w14:paraId="511CFAA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20.534</w:t>
            </w:r>
          </w:p>
        </w:tc>
        <w:tc>
          <w:tcPr>
            <w:tcW w:w="1134" w:type="dxa"/>
          </w:tcPr>
          <w:p w14:paraId="5FC883C0"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171.856</w:t>
            </w:r>
          </w:p>
        </w:tc>
        <w:tc>
          <w:tcPr>
            <w:tcW w:w="1134" w:type="dxa"/>
          </w:tcPr>
          <w:p w14:paraId="2A734799"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58.670</w:t>
            </w:r>
          </w:p>
        </w:tc>
        <w:tc>
          <w:tcPr>
            <w:tcW w:w="1134" w:type="dxa"/>
          </w:tcPr>
          <w:p w14:paraId="238E932C"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21.256</w:t>
            </w:r>
          </w:p>
        </w:tc>
        <w:tc>
          <w:tcPr>
            <w:tcW w:w="993" w:type="dxa"/>
          </w:tcPr>
          <w:p w14:paraId="2FB0C99D"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15.884</w:t>
            </w:r>
          </w:p>
        </w:tc>
        <w:tc>
          <w:tcPr>
            <w:tcW w:w="1134" w:type="dxa"/>
          </w:tcPr>
          <w:p w14:paraId="2C336294"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7.229</w:t>
            </w:r>
          </w:p>
        </w:tc>
      </w:tr>
      <w:tr w:rsidR="00371514" w:rsidRPr="00371514" w14:paraId="34DA162E" w14:textId="77777777" w:rsidTr="002C4B79">
        <w:tc>
          <w:tcPr>
            <w:tcW w:w="1701" w:type="dxa"/>
          </w:tcPr>
          <w:p w14:paraId="6A6BB68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RMSE</w:t>
            </w:r>
          </w:p>
        </w:tc>
        <w:tc>
          <w:tcPr>
            <w:tcW w:w="1134" w:type="dxa"/>
          </w:tcPr>
          <w:p w14:paraId="4147700E"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0.86</w:t>
            </w:r>
          </w:p>
        </w:tc>
        <w:tc>
          <w:tcPr>
            <w:tcW w:w="1134" w:type="dxa"/>
          </w:tcPr>
          <w:p w14:paraId="6CA29656"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0.89</w:t>
            </w:r>
          </w:p>
        </w:tc>
        <w:tc>
          <w:tcPr>
            <w:tcW w:w="1134" w:type="dxa"/>
          </w:tcPr>
          <w:p w14:paraId="346E457F"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1.71</w:t>
            </w:r>
          </w:p>
        </w:tc>
        <w:tc>
          <w:tcPr>
            <w:tcW w:w="1134" w:type="dxa"/>
          </w:tcPr>
          <w:p w14:paraId="056CF47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1.78</w:t>
            </w:r>
          </w:p>
        </w:tc>
        <w:tc>
          <w:tcPr>
            <w:tcW w:w="1134" w:type="dxa"/>
          </w:tcPr>
          <w:p w14:paraId="3FEBAFE8"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1.25</w:t>
            </w:r>
          </w:p>
        </w:tc>
        <w:tc>
          <w:tcPr>
            <w:tcW w:w="993" w:type="dxa"/>
          </w:tcPr>
          <w:p w14:paraId="4FC82AF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1.34</w:t>
            </w:r>
          </w:p>
        </w:tc>
        <w:tc>
          <w:tcPr>
            <w:tcW w:w="1134" w:type="dxa"/>
          </w:tcPr>
          <w:p w14:paraId="4D258E8A" w14:textId="77777777" w:rsidR="00F13150" w:rsidRPr="00371514" w:rsidRDefault="00F13150" w:rsidP="00295C7A">
            <w:pPr>
              <w:pStyle w:val="Compact"/>
              <w:rPr>
                <w:rFonts w:ascii="Times New Roman" w:hAnsi="Times New Roman" w:cs="Times New Roman"/>
              </w:rPr>
            </w:pPr>
            <w:r w:rsidRPr="00371514">
              <w:rPr>
                <w:rFonts w:ascii="Times New Roman" w:hAnsi="Times New Roman" w:cs="Times New Roman"/>
              </w:rPr>
              <w:t>0.02</w:t>
            </w:r>
          </w:p>
        </w:tc>
      </w:tr>
      <w:tr w:rsidR="00371514" w:rsidRPr="00371514" w14:paraId="4A62E5C0" w14:textId="77777777" w:rsidTr="00F13150">
        <w:tc>
          <w:tcPr>
            <w:tcW w:w="9498" w:type="dxa"/>
            <w:gridSpan w:val="8"/>
          </w:tcPr>
          <w:p w14:paraId="2D91B895" w14:textId="365DB5C0" w:rsidR="00F13150" w:rsidRPr="00371514" w:rsidRDefault="00F13150" w:rsidP="00F13150">
            <w:pPr>
              <w:pStyle w:val="Compact"/>
              <w:rPr>
                <w:rFonts w:ascii="Times New Roman" w:hAnsi="Times New Roman" w:cs="Times New Roman"/>
              </w:rPr>
            </w:pPr>
            <w:r w:rsidRPr="00371514">
              <w:rPr>
                <w:rFonts w:ascii="Times New Roman" w:hAnsi="Times New Roman" w:cs="Times New Roman"/>
              </w:rPr>
              <w:t>+ p &lt; 0.1, * p &lt; 0.05, ** p &lt; 0.01, *** p &lt; 0.001</w:t>
            </w:r>
          </w:p>
        </w:tc>
      </w:tr>
    </w:tbl>
    <w:p w14:paraId="46B88399" w14:textId="77777777" w:rsidR="008C4004" w:rsidRPr="00371514" w:rsidRDefault="008C4004" w:rsidP="008C4004"/>
    <w:p w14:paraId="105CEC68" w14:textId="4CF1FAEA" w:rsidR="008C4004" w:rsidRPr="00371514" w:rsidRDefault="008C4004" w:rsidP="008C4004">
      <w:r w:rsidRPr="00371514">
        <w:rPr>
          <w:b/>
          <w:bCs/>
        </w:rPr>
        <w:t>Table 1</w:t>
      </w:r>
      <w:r w:rsidRPr="00371514">
        <w:t xml:space="preserve"> Results from the</w:t>
      </w:r>
      <w:r w:rsidR="008D4B20" w:rsidRPr="00371514">
        <w:t xml:space="preserve"> seven</w:t>
      </w:r>
      <w:r w:rsidRPr="00371514">
        <w:t xml:space="preserve"> models</w:t>
      </w:r>
    </w:p>
    <w:p w14:paraId="2C8F7F54" w14:textId="0D8747DE" w:rsidR="00986B76" w:rsidRPr="00371514" w:rsidRDefault="008C4004" w:rsidP="00986B76">
      <w:pPr>
        <w:pStyle w:val="Heading3"/>
        <w:rPr>
          <w:color w:val="auto"/>
        </w:rPr>
      </w:pPr>
      <w:r w:rsidRPr="00371514">
        <w:rPr>
          <w:color w:val="auto"/>
        </w:rPr>
        <w:br w:type="page"/>
      </w:r>
      <w:bookmarkStart w:id="10" w:name="_Toc208240155"/>
      <w:r w:rsidR="00062512" w:rsidRPr="00371514">
        <w:rPr>
          <w:color w:val="auto"/>
        </w:rPr>
        <w:lastRenderedPageBreak/>
        <w:t>Pre-1979 (Discretionary Policy Era)</w:t>
      </w:r>
      <w:bookmarkEnd w:id="10"/>
    </w:p>
    <w:p w14:paraId="319A0228" w14:textId="77777777" w:rsidR="00986B76" w:rsidRPr="00371514" w:rsidRDefault="00062512" w:rsidP="00986B76">
      <w:r w:rsidRPr="00371514">
        <w:t xml:space="preserve">In this period, both inflation and output gaps are highly significant, with unemployment also exerting a large negative effect on the federal funds rate, suggesting that the Fed’s monetary policy is largely shaped by macroeconomic fundamentals. Some political variables matter, but not in the way which is commonly described for this period. Administrative continuity (incumbent administration running for reelection) is associated with an easier monetary policy, consistent with the traditional PMC hypothesis. </w:t>
      </w:r>
      <w:r w:rsidR="002457CC" w:rsidRPr="00371514">
        <w:t>In contrast, arguing against the traditional PMC hypothesis, p</w:t>
      </w:r>
      <w:r w:rsidRPr="00371514">
        <w:t xml:space="preserve">arty alignment </w:t>
      </w:r>
      <w:r w:rsidR="002457CC" w:rsidRPr="00371514">
        <w:t>has been found to</w:t>
      </w:r>
      <w:r w:rsidRPr="00371514">
        <w:t xml:space="preserve"> correlate with</w:t>
      </w:r>
      <w:r w:rsidR="002457CC" w:rsidRPr="00371514">
        <w:t xml:space="preserve"> a</w:t>
      </w:r>
      <w:r w:rsidRPr="00371514">
        <w:t xml:space="preserve"> tighter policy</w:t>
      </w:r>
      <w:r w:rsidR="002457CC" w:rsidRPr="00371514">
        <w:t xml:space="preserve">, suggesting </w:t>
      </w:r>
      <w:r w:rsidRPr="00371514">
        <w:t xml:space="preserve">that the Fed </w:t>
      </w:r>
      <w:r w:rsidR="002457CC" w:rsidRPr="00371514">
        <w:t>can actually benefit from party alignment, potentially giving it political cover to implement more unpopular monetary policy, rather than the administration profiting from the Fed, as is commonly portrayed</w:t>
      </w:r>
      <w:r w:rsidRPr="00371514">
        <w:t xml:space="preserve">. Proximity to elections and presidential disapproval </w:t>
      </w:r>
      <w:r w:rsidR="002457CC" w:rsidRPr="00371514">
        <w:t>have</w:t>
      </w:r>
      <w:r w:rsidRPr="00371514">
        <w:t xml:space="preserve"> not </w:t>
      </w:r>
      <w:r w:rsidR="002457CC" w:rsidRPr="00371514">
        <w:t xml:space="preserve">been found to be </w:t>
      </w:r>
      <w:r w:rsidRPr="00371514">
        <w:t>significant,</w:t>
      </w:r>
      <w:r w:rsidR="002457CC" w:rsidRPr="00371514">
        <w:t xml:space="preserve"> suggesting that the institutional</w:t>
      </w:r>
      <w:r w:rsidRPr="00371514">
        <w:t xml:space="preserve"> bargaining process </w:t>
      </w:r>
      <w:r w:rsidR="002457CC" w:rsidRPr="00371514">
        <w:t xml:space="preserve">matters more </w:t>
      </w:r>
      <w:r w:rsidRPr="00371514">
        <w:t>than</w:t>
      </w:r>
      <w:r w:rsidR="002457CC" w:rsidRPr="00371514">
        <w:t xml:space="preserve"> catering for the public opinion</w:t>
      </w:r>
      <w:r w:rsidRPr="00371514">
        <w:t xml:space="preserve">. These findings </w:t>
      </w:r>
      <w:r w:rsidR="002457CC" w:rsidRPr="00371514">
        <w:t>corroborate</w:t>
      </w:r>
      <w:r w:rsidRPr="00371514">
        <w:t xml:space="preserve"> historical accounts of Nixon</w:t>
      </w:r>
      <w:r w:rsidR="002457CC" w:rsidRPr="00371514">
        <w:t>-</w:t>
      </w:r>
      <w:r w:rsidRPr="00371514">
        <w:t>Burns interactions (Abrams and Butkiewicz 2012; Woolley 1985), where the Fed yielded selectively under pressure but also sought to preserve autonomy</w:t>
      </w:r>
      <w:r w:rsidR="002457CC" w:rsidRPr="00371514">
        <w:t>, as well as the broader more “discretionary” nature of this operating regime</w:t>
      </w:r>
      <w:r w:rsidRPr="00371514">
        <w:t xml:space="preserve">. The very high explanatory power of the model </w:t>
      </w:r>
      <w:r w:rsidR="00C519CD" w:rsidRPr="00371514">
        <w:t xml:space="preserve">regressing on </w:t>
      </w:r>
      <w:r w:rsidR="0080611E" w:rsidRPr="00371514">
        <w:t xml:space="preserve">the </w:t>
      </w:r>
      <w:r w:rsidR="00C519CD" w:rsidRPr="00371514">
        <w:t xml:space="preserve">FEDFUNDS </w:t>
      </w:r>
      <w:r w:rsidR="0080611E" w:rsidRPr="00371514">
        <w:t xml:space="preserve">rate </w:t>
      </w:r>
      <w:r w:rsidRPr="00371514">
        <w:t xml:space="preserve">(Adj. R² </w:t>
      </w:r>
      <w:r w:rsidR="000F43F1" w:rsidRPr="00371514">
        <w:t>=</w:t>
      </w:r>
      <w:r w:rsidRPr="00371514">
        <w:t xml:space="preserve"> 0.</w:t>
      </w:r>
      <w:r w:rsidR="000F43F1" w:rsidRPr="00371514">
        <w:t>89</w:t>
      </w:r>
      <w:r w:rsidR="0080611E" w:rsidRPr="00371514">
        <w:t>7</w:t>
      </w:r>
      <w:r w:rsidRPr="00371514">
        <w:t>) reflects how discretionary, interest-rate-based policy was simultaneously sensitive to fundamentals and embedded in political bargaining.</w:t>
      </w:r>
    </w:p>
    <w:p w14:paraId="5C0B1CA4" w14:textId="33F9B451" w:rsidR="00986B76" w:rsidRPr="00371514" w:rsidRDefault="00062512" w:rsidP="00986B76">
      <w:pPr>
        <w:pStyle w:val="Heading3"/>
        <w:rPr>
          <w:color w:val="auto"/>
        </w:rPr>
      </w:pPr>
      <w:bookmarkStart w:id="11" w:name="_Toc208240156"/>
      <w:r w:rsidRPr="00371514">
        <w:rPr>
          <w:color w:val="auto"/>
        </w:rPr>
        <w:t>1979–2008 (Taylor Rule Era)</w:t>
      </w:r>
      <w:bookmarkEnd w:id="11"/>
    </w:p>
    <w:p w14:paraId="1037A383" w14:textId="6B05E410" w:rsidR="00062512" w:rsidRPr="00371514" w:rsidRDefault="001221E3" w:rsidP="00986B76">
      <w:r w:rsidRPr="00371514">
        <w:t>The commonly perceived narrative of this operating regime often portrays</w:t>
      </w:r>
      <w:r w:rsidR="00062512" w:rsidRPr="00371514">
        <w:t xml:space="preserve"> the Fed as rule-based and inflation-averse</w:t>
      </w:r>
      <w:r w:rsidRPr="00371514">
        <w:t>, often in contrast to the previous one</w:t>
      </w:r>
      <w:r w:rsidR="00062512" w:rsidRPr="00371514">
        <w:t xml:space="preserve">. </w:t>
      </w:r>
      <w:r w:rsidRPr="00371514">
        <w:t>Like the previous era, the</w:t>
      </w:r>
      <w:r w:rsidR="00062512" w:rsidRPr="00371514">
        <w:t xml:space="preserve"> results confirm strong responsiveness to inflation and output gaps, but</w:t>
      </w:r>
      <w:r w:rsidRPr="00371514">
        <w:t xml:space="preserve"> unlike the previous era, this era now</w:t>
      </w:r>
      <w:r w:rsidR="00062512" w:rsidRPr="00371514">
        <w:t xml:space="preserve"> </w:t>
      </w:r>
      <w:r w:rsidRPr="00371514">
        <w:t xml:space="preserve">reveal a monetary policy being more sensitive to the public opinion. In fact, </w:t>
      </w:r>
      <w:r w:rsidR="00062512" w:rsidRPr="00371514">
        <w:t>presidential disapproval is significantly and negatively correlated with interest rates</w:t>
      </w:r>
      <w:r w:rsidR="00A53544" w:rsidRPr="00371514">
        <w:t xml:space="preserve">. This suggests that the disapproval of the current administration has an influence (to a certain extent) on the monetary policy of the Fed, which itself suggests pressure from the incumbent administration, since they’re directly suffering from public dissatisfaction. </w:t>
      </w:r>
      <w:r w:rsidR="00062512" w:rsidRPr="00371514">
        <w:t xml:space="preserve">This runs counter to the </w:t>
      </w:r>
      <w:r w:rsidR="00410D70" w:rsidRPr="00371514">
        <w:t xml:space="preserve">prevailing </w:t>
      </w:r>
      <w:r w:rsidR="00062512" w:rsidRPr="00371514">
        <w:t xml:space="preserve">narrative of central bank independence in this period, and </w:t>
      </w:r>
      <w:r w:rsidR="00410D70" w:rsidRPr="00371514">
        <w:t>corroborates</w:t>
      </w:r>
      <w:r w:rsidR="00062512" w:rsidRPr="00371514">
        <w:t xml:space="preserve"> arguments that</w:t>
      </w:r>
      <w:r w:rsidR="00410D70" w:rsidRPr="00371514">
        <w:t xml:space="preserve"> the</w:t>
      </w:r>
      <w:r w:rsidR="00062512" w:rsidRPr="00371514">
        <w:t xml:space="preserve"> credibility </w:t>
      </w:r>
      <w:r w:rsidR="00410D70" w:rsidRPr="00371514">
        <w:t xml:space="preserve">of the Fed </w:t>
      </w:r>
      <w:r w:rsidR="00062512" w:rsidRPr="00371514">
        <w:t xml:space="preserve">was secured through public legitimacy as well as macro fundamentals (Binder 2016). </w:t>
      </w:r>
      <w:r w:rsidR="00410D70" w:rsidRPr="00371514">
        <w:t>P</w:t>
      </w:r>
      <w:r w:rsidR="00062512" w:rsidRPr="00371514">
        <w:t xml:space="preserve">arty alignment </w:t>
      </w:r>
      <w:r w:rsidR="008E06A6" w:rsidRPr="00371514">
        <w:t xml:space="preserve">is found to be positively correlated with interest rates, which </w:t>
      </w:r>
      <w:r w:rsidR="00062512" w:rsidRPr="00371514">
        <w:t xml:space="preserve">suggests cooperation </w:t>
      </w:r>
      <w:r w:rsidR="008E06A6" w:rsidRPr="00371514">
        <w:t xml:space="preserve">between the Fed and the incumbent administration </w:t>
      </w:r>
      <w:r w:rsidR="00062512" w:rsidRPr="00371514">
        <w:t>rather than constraint. U</w:t>
      </w:r>
      <w:r w:rsidR="008E06A6" w:rsidRPr="00371514">
        <w:t>nlike the previous period however, u</w:t>
      </w:r>
      <w:r w:rsidR="00062512" w:rsidRPr="00371514">
        <w:t>nemployment becomes positively correlated with interest rates, reflecting the Fed’s stronger anti-inflationary bias</w:t>
      </w:r>
      <w:r w:rsidR="008E06A6" w:rsidRPr="00371514">
        <w:t xml:space="preserve"> of the period, which is rather consistent with the prevailing narrative</w:t>
      </w:r>
      <w:r w:rsidR="004B51A9" w:rsidRPr="00371514">
        <w:t xml:space="preserve"> about this time period</w:t>
      </w:r>
      <w:r w:rsidR="00062512" w:rsidRPr="00371514">
        <w:t xml:space="preserve">. Proximity to elections and administrative continuity remain insignificant. </w:t>
      </w:r>
      <w:r w:rsidR="00900803" w:rsidRPr="00371514">
        <w:t>The model fit for the one regressing on FEDFUNDS declines slightly (Adj. R² = 0.7</w:t>
      </w:r>
      <w:r w:rsidR="000974CC" w:rsidRPr="00371514">
        <w:t>79</w:t>
      </w:r>
      <w:r w:rsidR="00900803" w:rsidRPr="00371514">
        <w:t>) while the one regressing on the Taylor’s rule residuals nearly doubles (Adj. R² = 0.4</w:t>
      </w:r>
      <w:r w:rsidR="000974CC" w:rsidRPr="00371514">
        <w:t>60</w:t>
      </w:r>
      <w:r w:rsidR="00062512" w:rsidRPr="00371514">
        <w:t>).</w:t>
      </w:r>
    </w:p>
    <w:p w14:paraId="23F60213" w14:textId="4ED3F20D" w:rsidR="00986B76" w:rsidRPr="00371514" w:rsidRDefault="00062512" w:rsidP="00986B76">
      <w:pPr>
        <w:pStyle w:val="Heading3"/>
        <w:rPr>
          <w:color w:val="auto"/>
        </w:rPr>
      </w:pPr>
      <w:bookmarkStart w:id="12" w:name="_Toc208240157"/>
      <w:r w:rsidRPr="00371514">
        <w:rPr>
          <w:color w:val="auto"/>
        </w:rPr>
        <w:t>Post-2008 (Unconventional Policy Era)</w:t>
      </w:r>
      <w:bookmarkEnd w:id="12"/>
    </w:p>
    <w:p w14:paraId="41888326" w14:textId="6CFC3E7C" w:rsidR="00062512" w:rsidRPr="00371514" w:rsidRDefault="00062512" w:rsidP="00986B76">
      <w:r w:rsidRPr="00371514">
        <w:t xml:space="preserve">The </w:t>
      </w:r>
      <w:r w:rsidR="004F4F8A" w:rsidRPr="00371514">
        <w:t xml:space="preserve">post-2008 operating regime </w:t>
      </w:r>
      <w:r w:rsidRPr="00371514">
        <w:t xml:space="preserve">yields a </w:t>
      </w:r>
      <w:r w:rsidR="004F4F8A" w:rsidRPr="00371514">
        <w:t>visibly</w:t>
      </w:r>
      <w:r w:rsidRPr="00371514">
        <w:t xml:space="preserve"> different picture. Inflation is</w:t>
      </w:r>
      <w:r w:rsidR="004F4F8A" w:rsidRPr="00371514">
        <w:t xml:space="preserve"> for the first time</w:t>
      </w:r>
      <w:r w:rsidRPr="00371514">
        <w:t xml:space="preserve"> no longer </w:t>
      </w:r>
      <w:r w:rsidR="004F4F8A" w:rsidRPr="00371514">
        <w:t xml:space="preserve">found to be </w:t>
      </w:r>
      <w:r w:rsidRPr="00371514">
        <w:t>significant, and</w:t>
      </w:r>
      <w:r w:rsidR="004F4F8A" w:rsidRPr="00371514">
        <w:t xml:space="preserve"> surprisingly</w:t>
      </w:r>
      <w:r w:rsidRPr="00371514">
        <w:t xml:space="preserve"> output gap correlates negatively with </w:t>
      </w:r>
      <w:r w:rsidRPr="00371514">
        <w:lastRenderedPageBreak/>
        <w:t>interest rates</w:t>
      </w:r>
      <w:r w:rsidR="00900803" w:rsidRPr="00371514">
        <w:t xml:space="preserve"> when regressing on both interest rates and balance sheet expansion</w:t>
      </w:r>
      <w:r w:rsidRPr="00371514">
        <w:t xml:space="preserve">. </w:t>
      </w:r>
      <w:r w:rsidR="00900803" w:rsidRPr="00371514">
        <w:t>In fact, b</w:t>
      </w:r>
      <w:r w:rsidRPr="00371514">
        <w:t>alance-sheet expansion (</w:t>
      </w:r>
      <w:r w:rsidR="004F4F8A" w:rsidRPr="00371514">
        <w:t>also known as quantitative easing, or QE</w:t>
      </w:r>
      <w:r w:rsidRPr="00371514">
        <w:t>) is instead the</w:t>
      </w:r>
      <w:r w:rsidR="004F4F8A" w:rsidRPr="00371514">
        <w:t xml:space="preserve"> main</w:t>
      </w:r>
      <w:r w:rsidRPr="00371514">
        <w:t xml:space="preserve"> operative policy tool, and here the only</w:t>
      </w:r>
      <w:r w:rsidR="004F4F8A" w:rsidRPr="00371514">
        <w:t xml:space="preserve"> statistically significant</w:t>
      </w:r>
      <w:r w:rsidRPr="00371514">
        <w:t xml:space="preserve"> political variable </w:t>
      </w:r>
      <w:r w:rsidR="00F207C9" w:rsidRPr="00371514">
        <w:t xml:space="preserve">significantly correlating to it </w:t>
      </w:r>
      <w:r w:rsidRPr="00371514">
        <w:t>is</w:t>
      </w:r>
      <w:r w:rsidR="004F4F8A" w:rsidRPr="00371514">
        <w:t xml:space="preserve"> the</w:t>
      </w:r>
      <w:r w:rsidRPr="00371514">
        <w:t xml:space="preserve"> election proximity, </w:t>
      </w:r>
      <w:r w:rsidR="00F207C9" w:rsidRPr="00371514">
        <w:t>with a negative relationship</w:t>
      </w:r>
      <w:r w:rsidRPr="00371514">
        <w:t xml:space="preserve">. This </w:t>
      </w:r>
      <w:r w:rsidR="004F4F8A" w:rsidRPr="00371514">
        <w:t>suggests that</w:t>
      </w:r>
      <w:r w:rsidRPr="00371514">
        <w:t xml:space="preserve"> the Fed reduces </w:t>
      </w:r>
      <w:r w:rsidR="004F4F8A" w:rsidRPr="00371514">
        <w:t xml:space="preserve">balance sheet </w:t>
      </w:r>
      <w:r w:rsidRPr="00371514">
        <w:t xml:space="preserve">expansion as elections </w:t>
      </w:r>
      <w:r w:rsidR="004F4F8A" w:rsidRPr="00371514">
        <w:t>approach</w:t>
      </w:r>
      <w:r w:rsidRPr="00371514">
        <w:t xml:space="preserve">, possibly to avoid </w:t>
      </w:r>
      <w:r w:rsidR="004F4F8A" w:rsidRPr="00371514">
        <w:t>being accused</w:t>
      </w:r>
      <w:r w:rsidRPr="00371514">
        <w:t xml:space="preserve"> of favoritism or to preserve legitimacy.</w:t>
      </w:r>
      <w:r w:rsidR="00F207C9" w:rsidRPr="00371514">
        <w:t xml:space="preserve"> In the models regressing on interest rates or Taylor’s rule residuals, disapproval rate is found to have a significant positive correlation</w:t>
      </w:r>
      <w:r w:rsidRPr="00371514">
        <w:t>.</w:t>
      </w:r>
      <w:r w:rsidR="00F207C9" w:rsidRPr="00371514">
        <w:t xml:space="preserve"> Administrative continuity is also found to be positively correlated but only with the Taylo’s rule residuals.</w:t>
      </w:r>
      <w:r w:rsidRPr="00371514">
        <w:t xml:space="preserve"> The explanatory power </w:t>
      </w:r>
      <w:r w:rsidR="00900803" w:rsidRPr="00371514">
        <w:t xml:space="preserve">of the model regressing on the balance sheet expansion </w:t>
      </w:r>
      <w:r w:rsidRPr="00371514">
        <w:t>is</w:t>
      </w:r>
      <w:r w:rsidR="004F4F8A" w:rsidRPr="00371514">
        <w:t xml:space="preserve"> quite</w:t>
      </w:r>
      <w:r w:rsidRPr="00371514">
        <w:t xml:space="preserve"> low (Adj. R² </w:t>
      </w:r>
      <w:r w:rsidR="00502AB0" w:rsidRPr="00371514">
        <w:t>=</w:t>
      </w:r>
      <w:r w:rsidRPr="00371514">
        <w:t xml:space="preserve"> 0.1</w:t>
      </w:r>
      <w:r w:rsidR="00F207C9" w:rsidRPr="00371514">
        <w:t>87</w:t>
      </w:r>
      <w:r w:rsidRPr="00371514">
        <w:t>),</w:t>
      </w:r>
      <w:r w:rsidR="00502AB0" w:rsidRPr="00371514">
        <w:t xml:space="preserve"> surprisingly lower than the models regressing on Taylor’s rule residuals (Adj. R² = </w:t>
      </w:r>
      <w:r w:rsidR="006D1C5C" w:rsidRPr="00371514">
        <w:t>0.281</w:t>
      </w:r>
      <w:r w:rsidR="00502AB0" w:rsidRPr="00371514">
        <w:t xml:space="preserve">) and on the FEDFUNDS (Adj. R² = </w:t>
      </w:r>
      <w:r w:rsidR="006D1C5C" w:rsidRPr="00371514">
        <w:t>0.427</w:t>
      </w:r>
      <w:r w:rsidR="00502AB0" w:rsidRPr="00371514">
        <w:t>)</w:t>
      </w:r>
      <w:r w:rsidRPr="00371514">
        <w:t>.</w:t>
      </w:r>
      <w:r w:rsidR="00502AB0" w:rsidRPr="00371514">
        <w:t xml:space="preserve"> This suggest</w:t>
      </w:r>
      <w:r w:rsidR="00785BB9" w:rsidRPr="00371514">
        <w:t>s</w:t>
      </w:r>
      <w:r w:rsidR="00502AB0" w:rsidRPr="00371514">
        <w:t xml:space="preserve"> that the importance </w:t>
      </w:r>
      <w:r w:rsidR="002354A7" w:rsidRPr="00371514">
        <w:t>o</w:t>
      </w:r>
      <w:r w:rsidR="00502AB0" w:rsidRPr="00371514">
        <w:t xml:space="preserve">f QE during this operating regime may have been overstated by the prevailing narrative. </w:t>
      </w:r>
      <w:r w:rsidR="00785BB9" w:rsidRPr="00371514">
        <w:t>The findings emphasize that this operating regime may be more unpredictable, especially the use of QE.</w:t>
      </w:r>
    </w:p>
    <w:p w14:paraId="241D2D9D" w14:textId="10D8236E" w:rsidR="00986B76" w:rsidRPr="00371514" w:rsidRDefault="00062512" w:rsidP="00986B76">
      <w:pPr>
        <w:pStyle w:val="Heading3"/>
        <w:rPr>
          <w:color w:val="auto"/>
        </w:rPr>
      </w:pPr>
      <w:bookmarkStart w:id="13" w:name="_Toc208240158"/>
      <w:r w:rsidRPr="00371514">
        <w:rPr>
          <w:color w:val="auto"/>
        </w:rPr>
        <w:t>Comparative Interpretation</w:t>
      </w:r>
      <w:bookmarkEnd w:id="13"/>
    </w:p>
    <w:p w14:paraId="2D1C293D" w14:textId="6F1C19F8" w:rsidR="00062512" w:rsidRPr="00371514" w:rsidRDefault="00785BB9" w:rsidP="00986B76">
      <w:r w:rsidRPr="00371514">
        <w:t>Overall,</w:t>
      </w:r>
      <w:r w:rsidR="00062512" w:rsidRPr="00371514">
        <w:t xml:space="preserve"> the </w:t>
      </w:r>
      <w:r w:rsidRPr="00371514">
        <w:t>findings</w:t>
      </w:r>
      <w:r w:rsidR="00062512" w:rsidRPr="00371514">
        <w:t xml:space="preserve"> highlight that political influences </w:t>
      </w:r>
      <w:r w:rsidRPr="00371514">
        <w:t>depend heavily on the regime type rather than constant influences, which suggests that the behavior of the Fed is deeply tied to institutional arrangements and that these must be taken into account in order to draw an understanding of the Fed’s behavior</w:t>
      </w:r>
      <w:r w:rsidR="00062512" w:rsidRPr="00371514">
        <w:t xml:space="preserve">. In the discretionary era, political pressure was mediated through bargaining and party alignment, consistent with qualitative evidence of Nixon’s coercion and Burns’ strategic responses (Abrams 2006; Woolley 1985). In the Taylor rule era, disapproval effects show that even a supposedly independent and rule-based Fed remained sensitive to political legitimacy, contradicting the view of advanced-economy immunity to PMCs (Alpanda and Honig 2009) and supporting evidence of partisan cycles (Abrams and Iossifov 2006). </w:t>
      </w:r>
      <w:r w:rsidR="001453F6" w:rsidRPr="00371514">
        <w:t>In the post-2008 era, the insignificance of inflation and the reversal of the output gap correlation sign, together with the marginal explanatory power of QE, suggest that unconventional policies weakened the traditional macro-political transmission channels, leaving only election proximity and public disapproval as modest but meaningful political constraints.</w:t>
      </w:r>
    </w:p>
    <w:p w14:paraId="2C66DA3C" w14:textId="37A280D5" w:rsidR="006845B5" w:rsidRPr="00371514" w:rsidRDefault="001453F6" w:rsidP="00062512">
      <w:r w:rsidRPr="00371514">
        <w:t>Overall, the findings suggest that regressing on the FEDFUNDS rate generally yields much higher explanatory power than any other approaches. But even then, we can observe that the Adj. R² of models regressing on the Taylor’s rule residuals is highest during the 1979-2008 operating regime era, which at least seems to confirm that it was indeed followed more closely than in other eras.</w:t>
      </w:r>
    </w:p>
    <w:p w14:paraId="70353315" w14:textId="77777777" w:rsidR="006845B5" w:rsidRPr="00371514" w:rsidRDefault="006845B5">
      <w:r w:rsidRPr="00371514">
        <w:br w:type="page"/>
      </w:r>
    </w:p>
    <w:p w14:paraId="66D5EAED" w14:textId="77777777" w:rsidR="00062512" w:rsidRPr="00371514" w:rsidRDefault="00062512" w:rsidP="00062512"/>
    <w:p w14:paraId="158DCA0E" w14:textId="00E276E6" w:rsidR="00845AA1" w:rsidRPr="00114AC5" w:rsidRDefault="00845AA1" w:rsidP="00986B76">
      <w:pPr>
        <w:pStyle w:val="Heading1"/>
        <w:rPr>
          <w:lang w:val="en-US"/>
        </w:rPr>
      </w:pPr>
      <w:bookmarkStart w:id="14" w:name="_Toc208240159"/>
      <w:r w:rsidRPr="00114AC5">
        <w:rPr>
          <w:lang w:val="en-US"/>
        </w:rPr>
        <w:t>Conclusion</w:t>
      </w:r>
      <w:bookmarkEnd w:id="14"/>
    </w:p>
    <w:p w14:paraId="77ACC933" w14:textId="7473636A" w:rsidR="0060312B" w:rsidRPr="00371514" w:rsidRDefault="00763C88" w:rsidP="00763C88">
      <w:r w:rsidRPr="00371514">
        <w:t>In conclusion,</w:t>
      </w:r>
      <w:r w:rsidR="00676EDB" w:rsidRPr="00371514">
        <w:t xml:space="preserve"> the literature surrounding the independence of the </w:t>
      </w:r>
      <w:r w:rsidR="00AF47F3">
        <w:t>F</w:t>
      </w:r>
      <w:r w:rsidR="00676EDB" w:rsidRPr="00371514">
        <w:t xml:space="preserve">ederal </w:t>
      </w:r>
      <w:r w:rsidR="00AF47F3">
        <w:t>R</w:t>
      </w:r>
      <w:r w:rsidR="00676EDB" w:rsidRPr="00371514">
        <w:t>eserve is vast and varied with mixed results, although a lot of papers bring forth interesting evidence of political influence over the Fed’s monetary policy. The literature presents both factual evidence of instances when the incumbent administration clearly tried to influence the monetary policy of the Fed, and quantitative evidence of it happening systematically, although the large variety of methods and variables used makes the potential for inference less clear.</w:t>
      </w:r>
      <w:r w:rsidR="00770BE5" w:rsidRPr="00371514">
        <w:t xml:space="preserve"> </w:t>
      </w:r>
    </w:p>
    <w:p w14:paraId="3E872A2D" w14:textId="31AAB74C" w:rsidR="00763C88" w:rsidRPr="00371514" w:rsidRDefault="00770BE5" w:rsidP="00763C88">
      <w:r w:rsidRPr="00371514">
        <w:t>By distinguishing the three operating regime periods (1952-1979, 1979-2008, 2008-present), this paper presents statistically significant results suggesting that the Fed’s monetary policy has indeed been influenced by political factors</w:t>
      </w:r>
      <w:r w:rsidR="0060312B" w:rsidRPr="00371514">
        <w:t>, but interestingly, there are great differences in what influences the monetary policy and in which way across operating regimes</w:t>
      </w:r>
      <w:r w:rsidRPr="00371514">
        <w:t xml:space="preserve">. </w:t>
      </w:r>
      <w:r w:rsidR="00CA63CF" w:rsidRPr="00371514">
        <w:t>As such, in the pre-1979 era administrative continuity (the incumbent administration running for reelection) may have encouraged a looser monetary policy</w:t>
      </w:r>
      <w:r w:rsidR="00311B8B" w:rsidRPr="00371514">
        <w:t xml:space="preserve"> while party alignment (the incumbent administration and the Fed chair being of the same party) may have provided political cover for more restrictive monetary policy</w:t>
      </w:r>
      <w:r w:rsidR="0015431C" w:rsidRPr="00371514">
        <w:t>, which suggests that the Fed is a rational actor engaged in bargaining for keeping its independence while tightening monetary policy</w:t>
      </w:r>
      <w:r w:rsidR="00311B8B" w:rsidRPr="00371514">
        <w:t>.</w:t>
      </w:r>
      <w:r w:rsidR="008C079D" w:rsidRPr="00371514">
        <w:t xml:space="preserve"> In the Taylor rule era, a different pattern emerges. Here, the findings suggest that presidential disapproval negatively shaped interest rate</w:t>
      </w:r>
      <w:r w:rsidR="00D66F58" w:rsidRPr="00371514">
        <w:t xml:space="preserve">s, which is contrary to the more widespread notion of the Fed being quite independent in this era. Interestingly, </w:t>
      </w:r>
      <w:r w:rsidR="004712C1" w:rsidRPr="00371514">
        <w:t xml:space="preserve">unlike the previous period, </w:t>
      </w:r>
      <w:r w:rsidR="00D66F58" w:rsidRPr="00371514">
        <w:t xml:space="preserve">the </w:t>
      </w:r>
      <w:r w:rsidR="004712C1" w:rsidRPr="00371514">
        <w:t>party alignment becomes negatively linked with the interest rates, which suggests that the Fed may be trying to appear more independent in the months coming up to the elections. Things are even more different for the post-2008 era where the unconventional monetary policy in use weakened traditional macro-political channels. For the first time we see different significance</w:t>
      </w:r>
      <w:r w:rsidR="007F5ACB" w:rsidRPr="00371514">
        <w:t>s</w:t>
      </w:r>
      <w:r w:rsidR="0008353A" w:rsidRPr="00371514">
        <w:t xml:space="preserve"> or even coefficient signs</w:t>
      </w:r>
      <w:r w:rsidR="004712C1" w:rsidRPr="00371514">
        <w:t xml:space="preserve"> for the same independent variable regressing on different dependent variables</w:t>
      </w:r>
      <w:r w:rsidR="0080474E" w:rsidRPr="00371514">
        <w:t xml:space="preserve"> for about every dependent variables</w:t>
      </w:r>
      <w:r w:rsidR="000948FD" w:rsidRPr="00371514">
        <w:t xml:space="preserve"> used</w:t>
      </w:r>
      <w:r w:rsidR="0080474E" w:rsidRPr="00371514">
        <w:t>.</w:t>
      </w:r>
      <w:r w:rsidR="0023221F" w:rsidRPr="00371514">
        <w:t xml:space="preserve"> At the very least, the findings </w:t>
      </w:r>
      <w:r w:rsidR="00B9358C" w:rsidRPr="00371514">
        <w:t xml:space="preserve">either </w:t>
      </w:r>
      <w:r w:rsidR="0023221F" w:rsidRPr="00371514">
        <w:t>suggest that this period is more complex to observe than any other ones, or that it involves other variables than the ones used</w:t>
      </w:r>
      <w:r w:rsidR="00B9358C" w:rsidRPr="00371514">
        <w:t>, or that there are different PMCs for different macroeconomic tools</w:t>
      </w:r>
      <w:r w:rsidR="0023221F" w:rsidRPr="00371514">
        <w:t>.</w:t>
      </w:r>
      <w:r w:rsidR="00B9358C" w:rsidRPr="00371514">
        <w:t xml:space="preserve"> As such, balance sheet expansion is found to be smaller when approaching elections in a way not dissimilar to the lower interest rates pre-elections in the Taylor’s rule era.</w:t>
      </w:r>
      <w:r w:rsidR="006511B2" w:rsidRPr="00371514">
        <w:t xml:space="preserve"> The disapproval rate is found to positively shape only the interest rate and the Taylor’s rule residuals, while party alignment is only significantly correlated (positively) to the Taylor’s rule residuals (it’s the only time where an independent variable was correlated to the Taylor’s rule residuals but not the FEDFUNDS interest rates; they usually share the significance and the sign).</w:t>
      </w:r>
    </w:p>
    <w:p w14:paraId="4044EFB2" w14:textId="0DE67B53" w:rsidR="0006455A" w:rsidRPr="00371514" w:rsidRDefault="0006455A" w:rsidP="00062512">
      <w:r w:rsidRPr="00371514">
        <w:t>Taken together, these findings suggest</w:t>
      </w:r>
      <w:r w:rsidR="00411872" w:rsidRPr="00371514">
        <w:t xml:space="preserve"> that overall, the classical conception of the political monetary cycle does not really apply, and that overall, the essence of political influence over monetary policy isn’t some kind of cycle but rather a contingent process of bargaining between the Fed and the incumbent administration, embedded within institutional arrangement and evolving policy. This highlights the insufficiency of the de jure </w:t>
      </w:r>
      <w:r w:rsidR="00411872" w:rsidRPr="00371514">
        <w:lastRenderedPageBreak/>
        <w:t>independence of the Fed, as its autonomy is the result of a negotiation taking place permanently</w:t>
      </w:r>
      <w:r w:rsidR="009F5535" w:rsidRPr="00371514">
        <w:t xml:space="preserve"> in response to electoral cycles, public legitimacy and economic shocks</w:t>
      </w:r>
      <w:r w:rsidR="00411872" w:rsidRPr="00371514">
        <w:t>.</w:t>
      </w:r>
    </w:p>
    <w:p w14:paraId="6A35395C" w14:textId="369349AA" w:rsidR="00371514" w:rsidRPr="00371514" w:rsidRDefault="009F5535" w:rsidP="00856FFA">
      <w:r w:rsidRPr="00371514">
        <w:t xml:space="preserve">Future explanatory research </w:t>
      </w:r>
      <w:r w:rsidR="009D1A07" w:rsidRPr="00371514">
        <w:t xml:space="preserve">can be lead </w:t>
      </w:r>
      <w:r w:rsidRPr="00371514">
        <w:t xml:space="preserve">to explain why certain factors were significant during specific operating regimes and why their coefficient sign may have changed. </w:t>
      </w:r>
      <w:r w:rsidR="009D1A07" w:rsidRPr="00371514">
        <w:t>Furthermore, future explanatory research can be lead to explain why some operating regimes and institutional arrangements shapes the relationships between politics and monetary policy.</w:t>
      </w:r>
    </w:p>
    <w:p w14:paraId="4B7DE14A" w14:textId="77777777" w:rsidR="00371514" w:rsidRPr="00371514" w:rsidRDefault="00371514">
      <w:r w:rsidRPr="00371514">
        <w:br w:type="page"/>
      </w:r>
    </w:p>
    <w:p w14:paraId="7F81EDF8" w14:textId="45D417FC" w:rsidR="00062512" w:rsidRPr="00114AC5" w:rsidRDefault="00371514" w:rsidP="00371514">
      <w:pPr>
        <w:pStyle w:val="Heading1"/>
        <w:rPr>
          <w:lang w:val="en-US"/>
        </w:rPr>
      </w:pPr>
      <w:bookmarkStart w:id="15" w:name="_Toc208240160"/>
      <w:r w:rsidRPr="00114AC5">
        <w:rPr>
          <w:lang w:val="en-US"/>
        </w:rPr>
        <w:lastRenderedPageBreak/>
        <w:t>Bibliography</w:t>
      </w:r>
      <w:bookmarkEnd w:id="15"/>
    </w:p>
    <w:p w14:paraId="1B7ADCF7" w14:textId="77777777" w:rsidR="00371514" w:rsidRPr="00114AC5" w:rsidRDefault="00371514" w:rsidP="00371514"/>
    <w:p w14:paraId="38339842" w14:textId="77777777" w:rsidR="00371514" w:rsidRPr="00371514" w:rsidRDefault="00371514" w:rsidP="00371514">
      <w:r w:rsidRPr="00371514">
        <w:t xml:space="preserve">Abrams, Burton A. 2006. “How Richard Nixon Pressured Arthur Burns: Evidence from the Nixon Tapes.” </w:t>
      </w:r>
      <w:r w:rsidRPr="00371514">
        <w:rPr>
          <w:i/>
          <w:iCs/>
        </w:rPr>
        <w:t>Journal of Economic Perspectives</w:t>
      </w:r>
      <w:r w:rsidRPr="00371514">
        <w:t xml:space="preserve"> 20 (4): 177–88. </w:t>
      </w:r>
      <w:hyperlink r:id="rId8" w:history="1">
        <w:r w:rsidRPr="00371514">
          <w:rPr>
            <w:rStyle w:val="Hyperlink"/>
            <w:color w:val="auto"/>
          </w:rPr>
          <w:t>https://doi.org/10.1257/jep.20.4.177</w:t>
        </w:r>
      </w:hyperlink>
      <w:r w:rsidRPr="00371514">
        <w:t>.</w:t>
      </w:r>
    </w:p>
    <w:p w14:paraId="2E64DCA4" w14:textId="77777777" w:rsidR="00371514" w:rsidRPr="00371514" w:rsidRDefault="00371514" w:rsidP="00371514">
      <w:r w:rsidRPr="00371514">
        <w:t xml:space="preserve">Abrams, Burton A., and James L. Butkiewicz. 2012. “The Political Business Cycle: New Evidence from the Nixon Tapes.” </w:t>
      </w:r>
      <w:r w:rsidRPr="00371514">
        <w:rPr>
          <w:i/>
          <w:iCs/>
        </w:rPr>
        <w:t>Journal of Money, Credit and Banking</w:t>
      </w:r>
      <w:r w:rsidRPr="00371514">
        <w:t xml:space="preserve"> 44 (2‐3): 385–99.</w:t>
      </w:r>
    </w:p>
    <w:p w14:paraId="6E71500C" w14:textId="77777777" w:rsidR="00371514" w:rsidRPr="00371514" w:rsidRDefault="00371514" w:rsidP="00371514">
      <w:r w:rsidRPr="00371514">
        <w:t xml:space="preserve">Abrams, Burton A., and Plamen Iossifov. 2006. “Does the Fed Contribute to a Political Business Cycle?” </w:t>
      </w:r>
      <w:r w:rsidRPr="00371514">
        <w:rPr>
          <w:i/>
          <w:iCs/>
        </w:rPr>
        <w:t>Public Choice</w:t>
      </w:r>
      <w:r w:rsidRPr="00371514">
        <w:t xml:space="preserve"> 129 (3/4): 249–62.</w:t>
      </w:r>
    </w:p>
    <w:p w14:paraId="0C18DFB6" w14:textId="77777777" w:rsidR="00371514" w:rsidRPr="00371514" w:rsidRDefault="00371514" w:rsidP="00371514">
      <w:r w:rsidRPr="00371514">
        <w:t xml:space="preserve">Alesina, Alberto. 1987. “Macroeconomic Policy in a Two-Party System as a Repeated Game.” </w:t>
      </w:r>
      <w:r w:rsidRPr="00371514">
        <w:rPr>
          <w:i/>
          <w:iCs/>
        </w:rPr>
        <w:t>The Quarterly Journal of Economics</w:t>
      </w:r>
      <w:r w:rsidRPr="00371514">
        <w:t xml:space="preserve"> 102 (3): 651–78. </w:t>
      </w:r>
      <w:hyperlink r:id="rId9" w:history="1">
        <w:r w:rsidRPr="00371514">
          <w:rPr>
            <w:rStyle w:val="Hyperlink"/>
            <w:color w:val="auto"/>
          </w:rPr>
          <w:t>https://doi.org/10.2307/1884222</w:t>
        </w:r>
      </w:hyperlink>
      <w:r w:rsidRPr="00371514">
        <w:t>.</w:t>
      </w:r>
    </w:p>
    <w:p w14:paraId="314B0CA1" w14:textId="77777777" w:rsidR="00371514" w:rsidRPr="00371514" w:rsidRDefault="00371514" w:rsidP="00371514">
      <w:r w:rsidRPr="00371514">
        <w:t xml:space="preserve">Allen, Stuart D. 1986. “The Federal Reserve and the Electoral Cycle: Note.” </w:t>
      </w:r>
      <w:r w:rsidRPr="00371514">
        <w:rPr>
          <w:i/>
          <w:iCs/>
        </w:rPr>
        <w:t>Journal of Money, Credit and Banking</w:t>
      </w:r>
      <w:r w:rsidRPr="00371514">
        <w:t xml:space="preserve"> 18 (1): 88–94. </w:t>
      </w:r>
      <w:hyperlink r:id="rId10" w:history="1">
        <w:r w:rsidRPr="00371514">
          <w:rPr>
            <w:rStyle w:val="Hyperlink"/>
            <w:color w:val="auto"/>
          </w:rPr>
          <w:t>https://doi.org/10.2307/1992322</w:t>
        </w:r>
      </w:hyperlink>
      <w:r w:rsidRPr="00371514">
        <w:t>.</w:t>
      </w:r>
    </w:p>
    <w:p w14:paraId="27304937" w14:textId="77777777" w:rsidR="00371514" w:rsidRPr="00371514" w:rsidRDefault="00371514" w:rsidP="00371514">
      <w:r w:rsidRPr="00371514">
        <w:t xml:space="preserve">Alpanda, Sami, and Adam Honig. 2009. “The Impact of Central Bank Independence on Political Monetary Cycles in Advanced and Developing Nations.” </w:t>
      </w:r>
      <w:r w:rsidRPr="00371514">
        <w:rPr>
          <w:i/>
          <w:iCs/>
        </w:rPr>
        <w:t>Journal of Money, Credit and Banking</w:t>
      </w:r>
      <w:r w:rsidRPr="00371514">
        <w:t xml:space="preserve"> 41 (7): 1365–89. </w:t>
      </w:r>
      <w:hyperlink r:id="rId11" w:history="1">
        <w:r w:rsidRPr="00371514">
          <w:rPr>
            <w:rStyle w:val="Hyperlink"/>
            <w:color w:val="auto"/>
          </w:rPr>
          <w:t>https://doi.org/10.1111/j.1538-4616.2009.00260.x</w:t>
        </w:r>
      </w:hyperlink>
      <w:r w:rsidRPr="00371514">
        <w:t>.</w:t>
      </w:r>
    </w:p>
    <w:p w14:paraId="02759CD3" w14:textId="77777777" w:rsidR="00371514" w:rsidRPr="00371514" w:rsidRDefault="00371514" w:rsidP="00371514">
      <w:r w:rsidRPr="00371514">
        <w:t xml:space="preserve">Beck, Nathaniel. 1987. “Elections and the Fed: Is There a Political Monetary Cycle?” </w:t>
      </w:r>
      <w:r w:rsidRPr="00371514">
        <w:rPr>
          <w:i/>
          <w:iCs/>
        </w:rPr>
        <w:t>American Journal of Political Science</w:t>
      </w:r>
      <w:r w:rsidRPr="00371514">
        <w:t xml:space="preserve"> 31 (1): 194–216. </w:t>
      </w:r>
      <w:hyperlink r:id="rId12" w:history="1">
        <w:r w:rsidRPr="00371514">
          <w:rPr>
            <w:rStyle w:val="Hyperlink"/>
            <w:color w:val="auto"/>
          </w:rPr>
          <w:t>https://doi.org/10.2307/2111330</w:t>
        </w:r>
      </w:hyperlink>
      <w:r w:rsidRPr="00371514">
        <w:t>.</w:t>
      </w:r>
    </w:p>
    <w:p w14:paraId="750DF5F5" w14:textId="77777777" w:rsidR="00371514" w:rsidRPr="00371514" w:rsidRDefault="00371514" w:rsidP="00371514">
      <w:r w:rsidRPr="00371514">
        <w:t xml:space="preserve">Binder, Sarah. 2016. “The Federal Reserve as a ‘Political’ Institution.” </w:t>
      </w:r>
      <w:r w:rsidRPr="00371514">
        <w:rPr>
          <w:i/>
          <w:iCs/>
        </w:rPr>
        <w:t>Bulletin of the American Academy of Arts and Sciences</w:t>
      </w:r>
      <w:r w:rsidRPr="00371514">
        <w:t xml:space="preserve"> 69 (3): 47–49.</w:t>
      </w:r>
    </w:p>
    <w:p w14:paraId="33A1B7C3" w14:textId="77777777" w:rsidR="00371514" w:rsidRPr="00371514" w:rsidRDefault="00371514" w:rsidP="00371514">
      <w:r w:rsidRPr="00371514">
        <w:t xml:space="preserve">Cargill, Thomas F., and Gerald P. Jr O’Driscoll. 2013. “Federal Reserve Independence: Reality or Myth?” </w:t>
      </w:r>
      <w:r w:rsidRPr="00371514">
        <w:rPr>
          <w:i/>
          <w:iCs/>
        </w:rPr>
        <w:t>Cato Journal</w:t>
      </w:r>
      <w:r w:rsidRPr="00371514">
        <w:t xml:space="preserve"> 33 (3): 417–35.</w:t>
      </w:r>
    </w:p>
    <w:p w14:paraId="5E1372B4" w14:textId="77777777" w:rsidR="00371514" w:rsidRPr="00371514" w:rsidRDefault="00371514" w:rsidP="00371514">
      <w:r w:rsidRPr="00371514">
        <w:t xml:space="preserve">Carlsen, Fredrik. 1997. “Opinion Polls and Political Business Cycles: Theory and Evidence for the United States.” </w:t>
      </w:r>
      <w:r w:rsidRPr="00371514">
        <w:rPr>
          <w:i/>
          <w:iCs/>
        </w:rPr>
        <w:t>Public Choice</w:t>
      </w:r>
      <w:r w:rsidRPr="00371514">
        <w:t xml:space="preserve"> 92 (3/4): 387–406.</w:t>
      </w:r>
    </w:p>
    <w:p w14:paraId="2B244C71" w14:textId="77777777" w:rsidR="00371514" w:rsidRPr="00371514" w:rsidRDefault="00371514" w:rsidP="00371514">
      <w:r w:rsidRPr="00371514">
        <w:t xml:space="preserve">Cukierman, Alex, Steven B. Web, and Bilin Neyapti. 1992. “Measuring the Independence of Central Banks and Its Effect on Policy Outcomes.” </w:t>
      </w:r>
      <w:r w:rsidRPr="00371514">
        <w:rPr>
          <w:i/>
          <w:iCs/>
        </w:rPr>
        <w:t>The World Bank Economic Review</w:t>
      </w:r>
      <w:r w:rsidRPr="00371514">
        <w:t xml:space="preserve"> 6 (3): 353–98. </w:t>
      </w:r>
      <w:hyperlink r:id="rId13" w:history="1">
        <w:r w:rsidRPr="00371514">
          <w:rPr>
            <w:rStyle w:val="Hyperlink"/>
            <w:color w:val="auto"/>
          </w:rPr>
          <w:t>https://doi.org/10.1093/wber/6.3.353</w:t>
        </w:r>
      </w:hyperlink>
      <w:r w:rsidRPr="00371514">
        <w:t>.</w:t>
      </w:r>
    </w:p>
    <w:p w14:paraId="2A9557DB" w14:textId="77777777" w:rsidR="00371514" w:rsidRPr="00371514" w:rsidRDefault="00371514" w:rsidP="00371514">
      <w:r w:rsidRPr="00371514">
        <w:t xml:space="preserve">Dentler, Alexander. 2019. “Did the Fed Raise Interest Rates before Elections?” </w:t>
      </w:r>
      <w:r w:rsidRPr="00371514">
        <w:rPr>
          <w:i/>
          <w:iCs/>
        </w:rPr>
        <w:t>Public Choice</w:t>
      </w:r>
      <w:r w:rsidRPr="00371514">
        <w:t xml:space="preserve"> 181 (3/4): 239–73.</w:t>
      </w:r>
    </w:p>
    <w:p w14:paraId="3E582701" w14:textId="77777777" w:rsidR="00371514" w:rsidRPr="00371514" w:rsidRDefault="00371514" w:rsidP="00371514">
      <w:r w:rsidRPr="00371514">
        <w:t xml:space="preserve">Dickens, Edwin. 2016. </w:t>
      </w:r>
      <w:r w:rsidRPr="00371514">
        <w:rPr>
          <w:i/>
          <w:iCs/>
        </w:rPr>
        <w:t>The Political Economy of U.S. Monetary Policy: How the Federal Reserve Gained Control and Uses It</w:t>
      </w:r>
      <w:r w:rsidRPr="00371514">
        <w:t xml:space="preserve">. Routledge. </w:t>
      </w:r>
      <w:hyperlink r:id="rId14" w:history="1">
        <w:r w:rsidRPr="00371514">
          <w:rPr>
            <w:rStyle w:val="Hyperlink"/>
            <w:color w:val="auto"/>
          </w:rPr>
          <w:t>https://doi.org/10.4324/9781315694030</w:t>
        </w:r>
      </w:hyperlink>
      <w:r w:rsidRPr="00371514">
        <w:t>.</w:t>
      </w:r>
    </w:p>
    <w:p w14:paraId="56DD1EEA" w14:textId="77777777" w:rsidR="00371514" w:rsidRPr="00371514" w:rsidRDefault="00371514" w:rsidP="00371514">
      <w:r w:rsidRPr="00371514">
        <w:t xml:space="preserve">Falaschetti, Dino. 2002. “Does Partisan Heritage Matter? The Case of the Federal Reserve.” </w:t>
      </w:r>
      <w:r w:rsidRPr="00371514">
        <w:rPr>
          <w:i/>
          <w:iCs/>
        </w:rPr>
        <w:t>The Journal of Law, Economics, and Organization</w:t>
      </w:r>
      <w:r w:rsidRPr="00371514">
        <w:t xml:space="preserve"> 18 (2): 488–510. </w:t>
      </w:r>
      <w:hyperlink r:id="rId15" w:history="1">
        <w:r w:rsidRPr="00371514">
          <w:rPr>
            <w:rStyle w:val="Hyperlink"/>
            <w:color w:val="auto"/>
          </w:rPr>
          <w:t>https://doi.org/10.1093/jleo/18.2.488</w:t>
        </w:r>
      </w:hyperlink>
      <w:r w:rsidRPr="00371514">
        <w:t>.</w:t>
      </w:r>
    </w:p>
    <w:p w14:paraId="7BF7D0C5" w14:textId="77777777" w:rsidR="00371514" w:rsidRPr="00371514" w:rsidRDefault="00371514" w:rsidP="00371514">
      <w:r w:rsidRPr="00371514">
        <w:lastRenderedPageBreak/>
        <w:t xml:space="preserve">Funashima, Yoshito. 2013. “Reassessing the Fed’s Behaviour towards Presidential Elections.” </w:t>
      </w:r>
      <w:r w:rsidRPr="00371514">
        <w:rPr>
          <w:i/>
          <w:iCs/>
        </w:rPr>
        <w:t>Applied Economics Letters</w:t>
      </w:r>
      <w:r w:rsidRPr="00371514">
        <w:t xml:space="preserve"> 20 (8): 795–98. </w:t>
      </w:r>
      <w:hyperlink r:id="rId16" w:history="1">
        <w:r w:rsidRPr="00371514">
          <w:rPr>
            <w:rStyle w:val="Hyperlink"/>
            <w:color w:val="auto"/>
          </w:rPr>
          <w:t>https://doi.org/10.1080/13504851.2012.745925</w:t>
        </w:r>
      </w:hyperlink>
      <w:r w:rsidRPr="00371514">
        <w:t>.</w:t>
      </w:r>
    </w:p>
    <w:p w14:paraId="6D1106A1" w14:textId="77777777" w:rsidR="00371514" w:rsidRPr="00371514" w:rsidRDefault="00371514" w:rsidP="00371514">
      <w:r w:rsidRPr="00371514">
        <w:t xml:space="preserve">Gamber, Edward N., and David R. Hakes. 1997. “The Federal Reserve’s Response to Aggregate Demand and Aggregate Supply Shocks: Evidence of a Partisan Political Cycle.” </w:t>
      </w:r>
      <w:r w:rsidRPr="00371514">
        <w:rPr>
          <w:i/>
          <w:iCs/>
        </w:rPr>
        <w:t>Southern Economic Journal</w:t>
      </w:r>
      <w:r w:rsidRPr="00371514">
        <w:t xml:space="preserve"> 63 (3): 680–91. </w:t>
      </w:r>
      <w:hyperlink r:id="rId17" w:history="1">
        <w:r w:rsidRPr="00371514">
          <w:rPr>
            <w:rStyle w:val="Hyperlink"/>
            <w:color w:val="auto"/>
          </w:rPr>
          <w:t>https://doi.org/10.2307/1061102</w:t>
        </w:r>
      </w:hyperlink>
      <w:r w:rsidRPr="00371514">
        <w:t>.</w:t>
      </w:r>
    </w:p>
    <w:p w14:paraId="41385270" w14:textId="77777777" w:rsidR="00371514" w:rsidRPr="00371514" w:rsidRDefault="00371514" w:rsidP="00371514">
      <w:r w:rsidRPr="00371514">
        <w:t xml:space="preserve">Gamber, Edward N., and David R. Hakes. 2006. “The Taylor Rule and the Appointment Cycle of the Chairperson of the Federal Reserve.” </w:t>
      </w:r>
      <w:r w:rsidRPr="00371514">
        <w:rPr>
          <w:i/>
          <w:iCs/>
        </w:rPr>
        <w:t>Journal of Economics and Business</w:t>
      </w:r>
      <w:r w:rsidRPr="00371514">
        <w:t xml:space="preserve"> 58 (1): 55–66. </w:t>
      </w:r>
      <w:hyperlink r:id="rId18" w:history="1">
        <w:r w:rsidRPr="00371514">
          <w:rPr>
            <w:rStyle w:val="Hyperlink"/>
            <w:color w:val="auto"/>
          </w:rPr>
          <w:t>https://doi.org/10.1016/j.jeconbus.2005.05.004</w:t>
        </w:r>
      </w:hyperlink>
      <w:r w:rsidRPr="00371514">
        <w:t>.</w:t>
      </w:r>
    </w:p>
    <w:p w14:paraId="28BF6795" w14:textId="77777777" w:rsidR="00371514" w:rsidRPr="00371514" w:rsidRDefault="00371514" w:rsidP="00371514">
      <w:r w:rsidRPr="00371514">
        <w:t xml:space="preserve">Grier, Kevin B. 1987. “Presidential Elections and Federal Reserve Policy: An Empirical Test.” </w:t>
      </w:r>
      <w:r w:rsidRPr="00371514">
        <w:rPr>
          <w:i/>
          <w:iCs/>
        </w:rPr>
        <w:t>Southern Economic Journal</w:t>
      </w:r>
      <w:r w:rsidRPr="00371514">
        <w:t xml:space="preserve"> 54 (2): 475–86. </w:t>
      </w:r>
      <w:hyperlink r:id="rId19" w:history="1">
        <w:r w:rsidRPr="00371514">
          <w:rPr>
            <w:rStyle w:val="Hyperlink"/>
            <w:color w:val="auto"/>
          </w:rPr>
          <w:t>https://doi.org/10.2307/1059330</w:t>
        </w:r>
      </w:hyperlink>
      <w:r w:rsidRPr="00371514">
        <w:t>.</w:t>
      </w:r>
    </w:p>
    <w:p w14:paraId="51F59140" w14:textId="77777777" w:rsidR="00371514" w:rsidRPr="00371514" w:rsidRDefault="00371514" w:rsidP="00371514">
      <w:r w:rsidRPr="00371514">
        <w:t xml:space="preserve">Grier, Kevin B. 1989. “On the Existence of a Political Monetary Cycle.” </w:t>
      </w:r>
      <w:r w:rsidRPr="00371514">
        <w:rPr>
          <w:i/>
          <w:iCs/>
        </w:rPr>
        <w:t>American Journal of Political Science</w:t>
      </w:r>
      <w:r w:rsidRPr="00371514">
        <w:t xml:space="preserve"> 33 (2): 376–89. </w:t>
      </w:r>
      <w:hyperlink r:id="rId20" w:history="1">
        <w:r w:rsidRPr="00371514">
          <w:rPr>
            <w:rStyle w:val="Hyperlink"/>
            <w:color w:val="auto"/>
          </w:rPr>
          <w:t>https://doi.org/10.2307/2111152</w:t>
        </w:r>
      </w:hyperlink>
      <w:r w:rsidRPr="00371514">
        <w:t>.</w:t>
      </w:r>
    </w:p>
    <w:p w14:paraId="54D22116" w14:textId="77777777" w:rsidR="00371514" w:rsidRPr="00371514" w:rsidRDefault="00371514" w:rsidP="00371514">
      <w:r w:rsidRPr="00371514">
        <w:t xml:space="preserve">Havrilesky, Thomas. 1991. “The Frequency of Monetary Policy Signaling from the Administration to the Federal Reserve: Note.” </w:t>
      </w:r>
      <w:r w:rsidRPr="00371514">
        <w:rPr>
          <w:i/>
          <w:iCs/>
        </w:rPr>
        <w:t>Journal of Money, Credit and Banking</w:t>
      </w:r>
      <w:r w:rsidRPr="00371514">
        <w:t xml:space="preserve"> 23 (3): 423–28. </w:t>
      </w:r>
      <w:hyperlink r:id="rId21" w:history="1">
        <w:r w:rsidRPr="00371514">
          <w:rPr>
            <w:rStyle w:val="Hyperlink"/>
            <w:color w:val="auto"/>
          </w:rPr>
          <w:t>https://doi.org/10.2307/1992754</w:t>
        </w:r>
      </w:hyperlink>
      <w:r w:rsidRPr="00371514">
        <w:t>.</w:t>
      </w:r>
    </w:p>
    <w:p w14:paraId="1C4C24DB" w14:textId="77777777" w:rsidR="00371514" w:rsidRPr="00371514" w:rsidRDefault="00371514" w:rsidP="00371514">
      <w:r w:rsidRPr="00371514">
        <w:t xml:space="preserve">Havrilesky, Thomas. 1994. “The Political Economy of Monetary Policy.” </w:t>
      </w:r>
      <w:r w:rsidRPr="00371514">
        <w:rPr>
          <w:i/>
          <w:iCs/>
        </w:rPr>
        <w:t>European Journal of Political Economy</w:t>
      </w:r>
      <w:r w:rsidRPr="00371514">
        <w:t xml:space="preserve"> 10 (1): 111–34. </w:t>
      </w:r>
      <w:hyperlink r:id="rId22" w:history="1">
        <w:r w:rsidRPr="00371514">
          <w:rPr>
            <w:rStyle w:val="Hyperlink"/>
            <w:color w:val="auto"/>
          </w:rPr>
          <w:t>https://doi.org/10.1016/0176-2680(94)90064-7</w:t>
        </w:r>
      </w:hyperlink>
      <w:r w:rsidRPr="00371514">
        <w:t>.</w:t>
      </w:r>
    </w:p>
    <w:p w14:paraId="302EB38F" w14:textId="77777777" w:rsidR="00371514" w:rsidRPr="00371514" w:rsidRDefault="00371514" w:rsidP="00371514">
      <w:r w:rsidRPr="00371514">
        <w:t xml:space="preserve">Havrilesky, Thomas, and John Gildea. 1992. “Reliable and Unreliable Partisan Appointees to the Board of Governors.” </w:t>
      </w:r>
      <w:r w:rsidRPr="00371514">
        <w:rPr>
          <w:i/>
          <w:iCs/>
        </w:rPr>
        <w:t>Public Choice</w:t>
      </w:r>
      <w:r w:rsidRPr="00371514">
        <w:t xml:space="preserve"> 73 (4): 397–417. </w:t>
      </w:r>
      <w:hyperlink r:id="rId23" w:history="1">
        <w:r w:rsidRPr="00371514">
          <w:rPr>
            <w:rStyle w:val="Hyperlink"/>
            <w:color w:val="auto"/>
          </w:rPr>
          <w:t>https://doi.org/10.1007/BF01789559</w:t>
        </w:r>
      </w:hyperlink>
      <w:r w:rsidRPr="00371514">
        <w:t>.</w:t>
      </w:r>
    </w:p>
    <w:p w14:paraId="0AAB522A" w14:textId="77777777" w:rsidR="00371514" w:rsidRPr="00371514" w:rsidRDefault="00371514" w:rsidP="00371514">
      <w:r w:rsidRPr="00371514">
        <w:t xml:space="preserve">Jones, Adam T., and Mathew W. Snyder. 2014. “Federal Reserve Independence: The Fed Funds Rate under Different Regimes.” </w:t>
      </w:r>
      <w:r w:rsidRPr="00371514">
        <w:rPr>
          <w:i/>
          <w:iCs/>
        </w:rPr>
        <w:t>Applied Economics Letters</w:t>
      </w:r>
      <w:r w:rsidRPr="00371514">
        <w:t xml:space="preserve"> 21 (18): 1262–65. </w:t>
      </w:r>
      <w:hyperlink r:id="rId24" w:history="1">
        <w:r w:rsidRPr="00371514">
          <w:rPr>
            <w:rStyle w:val="Hyperlink"/>
            <w:color w:val="auto"/>
          </w:rPr>
          <w:t>https://doi.org/10.1080/13504851.2014.920473</w:t>
        </w:r>
      </w:hyperlink>
      <w:r w:rsidRPr="00371514">
        <w:t>.</w:t>
      </w:r>
    </w:p>
    <w:p w14:paraId="697BC73C" w14:textId="77777777" w:rsidR="00371514" w:rsidRPr="00371514" w:rsidRDefault="00371514" w:rsidP="00371514">
      <w:r w:rsidRPr="00371514">
        <w:t xml:space="preserve">Jordan, Jerry L., and William J. Luther. 2022. “Central Bank Independence and the Federal Reserve’s New Operating Regime.” </w:t>
      </w:r>
      <w:r w:rsidRPr="00371514">
        <w:rPr>
          <w:i/>
          <w:iCs/>
        </w:rPr>
        <w:t>The Quarterly Review of Economics and Finance</w:t>
      </w:r>
      <w:r w:rsidRPr="00371514">
        <w:t xml:space="preserve"> 84 (May): 510–15. </w:t>
      </w:r>
      <w:hyperlink r:id="rId25" w:history="1">
        <w:r w:rsidRPr="00371514">
          <w:rPr>
            <w:rStyle w:val="Hyperlink"/>
            <w:color w:val="auto"/>
          </w:rPr>
          <w:t>https://doi.org/10.1016/j.qref.2020.10.006</w:t>
        </w:r>
      </w:hyperlink>
      <w:r w:rsidRPr="00371514">
        <w:t>.</w:t>
      </w:r>
    </w:p>
    <w:p w14:paraId="4C97288E" w14:textId="77777777" w:rsidR="00371514" w:rsidRPr="00371514" w:rsidRDefault="00371514" w:rsidP="00371514">
      <w:r w:rsidRPr="00371514">
        <w:t xml:space="preserve">Kalecki, M. 1943. “POLITICAL ASPECTS OF FULL EMPLOYMEN.” </w:t>
      </w:r>
      <w:r w:rsidRPr="00371514">
        <w:rPr>
          <w:i/>
          <w:iCs/>
        </w:rPr>
        <w:t>The Political Quarterly</w:t>
      </w:r>
      <w:r w:rsidRPr="00371514">
        <w:t xml:space="preserve"> 14 (4): 322–30. </w:t>
      </w:r>
      <w:hyperlink r:id="rId26" w:history="1">
        <w:r w:rsidRPr="00371514">
          <w:rPr>
            <w:rStyle w:val="Hyperlink"/>
            <w:color w:val="auto"/>
          </w:rPr>
          <w:t>https://doi.org/10.1111/j.1467-923X.1943.tb01016.x</w:t>
        </w:r>
      </w:hyperlink>
      <w:r w:rsidRPr="00371514">
        <w:t>.</w:t>
      </w:r>
    </w:p>
    <w:p w14:paraId="5DFBAEAB" w14:textId="77777777" w:rsidR="00371514" w:rsidRPr="00371514" w:rsidRDefault="00371514" w:rsidP="00371514">
      <w:r w:rsidRPr="00371514">
        <w:t xml:space="preserve">Klose, Jens. 2012. “Political Business Cycles and Monetary Policy Revisited–an Application of a Two-Dimensional Asymmetric Taylor Reaction Function.” </w:t>
      </w:r>
      <w:r w:rsidRPr="00371514">
        <w:rPr>
          <w:i/>
          <w:iCs/>
        </w:rPr>
        <w:t>International Economics and Economic Policy</w:t>
      </w:r>
      <w:r w:rsidRPr="00371514">
        <w:t xml:space="preserve"> 9 (3): 265–95. </w:t>
      </w:r>
      <w:hyperlink r:id="rId27" w:history="1">
        <w:r w:rsidRPr="00371514">
          <w:rPr>
            <w:rStyle w:val="Hyperlink"/>
            <w:color w:val="auto"/>
          </w:rPr>
          <w:t>https://doi.org/10.1007/s10368-012-0213-8</w:t>
        </w:r>
      </w:hyperlink>
      <w:r w:rsidRPr="00371514">
        <w:t>.</w:t>
      </w:r>
    </w:p>
    <w:p w14:paraId="1B68C338" w14:textId="77777777" w:rsidR="00371514" w:rsidRPr="00371514" w:rsidRDefault="00371514" w:rsidP="00371514">
      <w:r w:rsidRPr="00371514">
        <w:t xml:space="preserve">Nordhaus, William D. 1975. “The Political Business Cycle.” </w:t>
      </w:r>
      <w:r w:rsidRPr="00371514">
        <w:rPr>
          <w:i/>
          <w:iCs/>
        </w:rPr>
        <w:t>The Review of Economic Studies</w:t>
      </w:r>
      <w:r w:rsidRPr="00371514">
        <w:t xml:space="preserve"> 42 (2): 169. </w:t>
      </w:r>
      <w:hyperlink r:id="rId28" w:history="1">
        <w:r w:rsidRPr="00371514">
          <w:rPr>
            <w:rStyle w:val="Hyperlink"/>
            <w:color w:val="auto"/>
          </w:rPr>
          <w:t>https://doi.org/10.2307/2296528</w:t>
        </w:r>
      </w:hyperlink>
      <w:r w:rsidRPr="00371514">
        <w:t>.</w:t>
      </w:r>
    </w:p>
    <w:p w14:paraId="1D1600CE" w14:textId="77777777" w:rsidR="00371514" w:rsidRPr="00371514" w:rsidRDefault="00371514" w:rsidP="00371514">
      <w:r w:rsidRPr="00371514">
        <w:t xml:space="preserve">Romer, Christina D., and David H. Romer. 2004. “Choosing the Federal Reserve Chair: Lessons from History.” </w:t>
      </w:r>
      <w:r w:rsidRPr="00371514">
        <w:rPr>
          <w:i/>
          <w:iCs/>
        </w:rPr>
        <w:t>Journal of Economic Perspectives</w:t>
      </w:r>
      <w:r w:rsidRPr="00371514">
        <w:t xml:space="preserve"> 18 (1): 129–62. </w:t>
      </w:r>
      <w:hyperlink r:id="rId29" w:history="1">
        <w:r w:rsidRPr="00371514">
          <w:rPr>
            <w:rStyle w:val="Hyperlink"/>
            <w:color w:val="auto"/>
          </w:rPr>
          <w:t>https://doi.org/10.1257/089533004773563476</w:t>
        </w:r>
      </w:hyperlink>
      <w:r w:rsidRPr="00371514">
        <w:t>.</w:t>
      </w:r>
    </w:p>
    <w:p w14:paraId="080F5F85" w14:textId="77777777" w:rsidR="00371514" w:rsidRPr="00371514" w:rsidRDefault="00371514" w:rsidP="00371514">
      <w:r w:rsidRPr="00371514">
        <w:lastRenderedPageBreak/>
        <w:t xml:space="preserve">Walsh, Carl E. 1993. “Central Bank Strategies, Credibility, and Independence: A Review Essay.” </w:t>
      </w:r>
      <w:r w:rsidRPr="00371514">
        <w:rPr>
          <w:i/>
          <w:iCs/>
        </w:rPr>
        <w:t>Journal of Monetary Economics</w:t>
      </w:r>
      <w:r w:rsidRPr="00371514">
        <w:t xml:space="preserve"> 32 (2): 287–302. </w:t>
      </w:r>
      <w:hyperlink r:id="rId30" w:history="1">
        <w:r w:rsidRPr="00371514">
          <w:rPr>
            <w:rStyle w:val="Hyperlink"/>
            <w:color w:val="auto"/>
          </w:rPr>
          <w:t>https://doi.org/10.1016/0304-3932(93)90006-2</w:t>
        </w:r>
      </w:hyperlink>
      <w:r w:rsidRPr="00371514">
        <w:t>.</w:t>
      </w:r>
    </w:p>
    <w:p w14:paraId="50D02671" w14:textId="77777777" w:rsidR="00371514" w:rsidRPr="00371514" w:rsidRDefault="00371514" w:rsidP="00371514">
      <w:r w:rsidRPr="00371514">
        <w:t xml:space="preserve">Weise, Charles L. 2012. “Political Pressures on Monetary Policy during the US Great Inflation.” </w:t>
      </w:r>
      <w:r w:rsidRPr="00371514">
        <w:rPr>
          <w:i/>
          <w:iCs/>
        </w:rPr>
        <w:t>American Economic Journal: Macroeconomics</w:t>
      </w:r>
      <w:r w:rsidRPr="00371514">
        <w:t xml:space="preserve"> 4 (2): 33–64. </w:t>
      </w:r>
      <w:hyperlink r:id="rId31" w:history="1">
        <w:r w:rsidRPr="00371514">
          <w:rPr>
            <w:rStyle w:val="Hyperlink"/>
            <w:color w:val="auto"/>
          </w:rPr>
          <w:t>https://doi.org/10.1257/mac.4.2.33</w:t>
        </w:r>
      </w:hyperlink>
      <w:r w:rsidRPr="00371514">
        <w:t>.</w:t>
      </w:r>
    </w:p>
    <w:p w14:paraId="5C5F8E92" w14:textId="77777777" w:rsidR="00371514" w:rsidRPr="00114AC5" w:rsidRDefault="00371514" w:rsidP="00371514">
      <w:r w:rsidRPr="00371514">
        <w:t xml:space="preserve">Woolley, John Turner. 1985. </w:t>
      </w:r>
      <w:r w:rsidRPr="00371514">
        <w:rPr>
          <w:i/>
          <w:iCs/>
        </w:rPr>
        <w:t>Monetary Politics: The Federal Reserve and the Politics of Monetary Policy</w:t>
      </w:r>
      <w:r w:rsidRPr="00371514">
        <w:t xml:space="preserve">. </w:t>
      </w:r>
      <w:r w:rsidRPr="00114AC5">
        <w:t>1. paperback ed. Cambridge Univ. press.</w:t>
      </w:r>
    </w:p>
    <w:p w14:paraId="4A4D8D1F" w14:textId="77777777" w:rsidR="00371514" w:rsidRPr="00114AC5" w:rsidRDefault="00371514" w:rsidP="00371514"/>
    <w:p w14:paraId="11DD3665" w14:textId="6E7C74B0" w:rsidR="00062512" w:rsidRPr="00114AC5" w:rsidRDefault="00062512">
      <w:pPr>
        <w:rPr>
          <w:b/>
        </w:rPr>
      </w:pPr>
      <w:r w:rsidRPr="00114AC5">
        <w:rPr>
          <w:b/>
        </w:rPr>
        <w:br w:type="page"/>
      </w:r>
    </w:p>
    <w:p w14:paraId="56AA2BE1" w14:textId="74A902F3" w:rsidR="00016926" w:rsidRPr="00114AC5" w:rsidRDefault="00016926" w:rsidP="00371514">
      <w:pPr>
        <w:pStyle w:val="Heading1"/>
        <w:rPr>
          <w:lang w:val="en-US"/>
        </w:rPr>
      </w:pPr>
      <w:bookmarkStart w:id="16" w:name="_Toc208240161"/>
      <w:r w:rsidRPr="00114AC5">
        <w:rPr>
          <w:lang w:val="en-US"/>
        </w:rPr>
        <w:lastRenderedPageBreak/>
        <w:t>Appendix A</w:t>
      </w:r>
      <w:bookmarkEnd w:id="16"/>
    </w:p>
    <w:p w14:paraId="4E8AB283" w14:textId="12DC01EE" w:rsidR="00016926" w:rsidRPr="00371514" w:rsidRDefault="00016926" w:rsidP="00016926">
      <w:pPr>
        <w:rPr>
          <w:b/>
          <w:lang w:val="en"/>
        </w:rPr>
      </w:pPr>
      <w:r w:rsidRPr="00371514">
        <w:rPr>
          <w:lang w:val="en"/>
        </w:rPr>
        <w:br/>
      </w:r>
      <w:r w:rsidR="004E7409" w:rsidRPr="00371514">
        <w:rPr>
          <w:b/>
          <w:lang w:val="en"/>
        </w:rPr>
        <w:t>Extract</w:t>
      </w:r>
      <w:r w:rsidRPr="00371514">
        <w:rPr>
          <w:b/>
          <w:lang w:val="en"/>
        </w:rPr>
        <w:t xml:space="preserve"> 1</w:t>
      </w:r>
    </w:p>
    <w:p w14:paraId="19F9527E" w14:textId="77777777" w:rsidR="004E7409" w:rsidRPr="00371514" w:rsidRDefault="004E7409" w:rsidP="004E7409">
      <w:r w:rsidRPr="00371514">
        <w:t>Nixon - “My relations with the Fed, will be different than they were with [previous Federal Reserve chairman] Bill Martin there. He was always six months too late doing anything. I’m counting on you, Arthur, to keep us out of a recession.”</w:t>
      </w:r>
    </w:p>
    <w:p w14:paraId="0CDE6446" w14:textId="77777777" w:rsidR="004E7409" w:rsidRPr="00371514" w:rsidRDefault="004E7409" w:rsidP="004E7409">
      <w:r w:rsidRPr="00371514">
        <w:t>Burns - “Yes, Mr. President, I don’t like to be late.”</w:t>
      </w:r>
    </w:p>
    <w:p w14:paraId="4AB98342" w14:textId="77777777" w:rsidR="004E7409" w:rsidRPr="00371514" w:rsidRDefault="004E7409" w:rsidP="004E7409">
      <w:r w:rsidRPr="00371514">
        <w:t>Nixon - “The Fed and the money supply are more important than anything the Bureau of the Budget does. Arthur, I want you to come over and see me privately anytime . . .”</w:t>
      </w:r>
    </w:p>
    <w:p w14:paraId="49ED4CCC" w14:textId="77777777" w:rsidR="004E7409" w:rsidRPr="00371514" w:rsidRDefault="004E7409" w:rsidP="004E7409">
      <w:r w:rsidRPr="00371514">
        <w:t xml:space="preserve">Burns - “Thank you, Mr. President” </w:t>
      </w:r>
    </w:p>
    <w:p w14:paraId="2FA81570" w14:textId="77777777" w:rsidR="004E7409" w:rsidRPr="00371514" w:rsidRDefault="004E7409" w:rsidP="004E7409">
      <w:r w:rsidRPr="00371514">
        <w:t>Nixon - “I know there’s the myth of the autonomous Fed . . . and when you go up for confirmation some Senator may ask you about your friendship with the President. Appearances are going to be important, so you can call Ehrlichman to get messages to me, and he’ll call you.”</w:t>
      </w:r>
      <w:r w:rsidRPr="00371514">
        <w:rPr>
          <w:rStyle w:val="FootnoteReference"/>
        </w:rPr>
        <w:footnoteReference w:id="3"/>
      </w:r>
    </w:p>
    <w:p w14:paraId="35887D15" w14:textId="13BCB287" w:rsidR="009928ED" w:rsidRPr="00371514" w:rsidRDefault="004E7409" w:rsidP="004E7409">
      <w:pPr>
        <w:rPr>
          <w:b/>
          <w:bCs/>
        </w:rPr>
      </w:pPr>
      <w:r w:rsidRPr="00371514">
        <w:rPr>
          <w:b/>
          <w:bCs/>
        </w:rPr>
        <w:t>Extract 2</w:t>
      </w:r>
    </w:p>
    <w:p w14:paraId="08ED9DC0" w14:textId="77777777" w:rsidR="004E7409" w:rsidRPr="00371514" w:rsidRDefault="004E7409" w:rsidP="004E7409">
      <w:r w:rsidRPr="00371514">
        <w:t>Nixon: “He’s [Burns is] ruthless. He plays all the bureaucracy. He plays all the press. He does the leaks. He does everything else, John.”</w:t>
      </w:r>
    </w:p>
    <w:p w14:paraId="1EC99569" w14:textId="77777777" w:rsidR="004E7409" w:rsidRPr="00371514" w:rsidRDefault="004E7409" w:rsidP="004E7409">
      <w:r w:rsidRPr="00371514">
        <w:t>Connally: “He plays that Hill . . . in a big way. Both sides.”</w:t>
      </w:r>
    </w:p>
    <w:p w14:paraId="36759BA3" w14:textId="77777777" w:rsidR="004E7409" w:rsidRPr="00371514" w:rsidRDefault="004E7409" w:rsidP="004E7409">
      <w:r w:rsidRPr="00371514">
        <w:t>Nixon: “I’d be delighted to be the first president in 25 years to take the Fed on if it becomes necessary.”</w:t>
      </w:r>
      <w:r w:rsidRPr="00371514">
        <w:rPr>
          <w:rStyle w:val="FootnoteReference"/>
        </w:rPr>
        <w:footnoteReference w:id="4"/>
      </w:r>
    </w:p>
    <w:p w14:paraId="749B67E4" w14:textId="77777777" w:rsidR="004E7409" w:rsidRPr="00371514" w:rsidRDefault="004E7409" w:rsidP="004E7409">
      <w:pPr>
        <w:rPr>
          <w:b/>
          <w:bCs/>
        </w:rPr>
      </w:pPr>
    </w:p>
    <w:sectPr w:rsidR="004E7409" w:rsidRPr="00371514" w:rsidSect="00371514">
      <w:footerReference w:type="default" r:id="rId3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613E" w14:textId="77777777" w:rsidR="003E390D" w:rsidRDefault="003E390D" w:rsidP="00856FFA">
      <w:r>
        <w:separator/>
      </w:r>
    </w:p>
  </w:endnote>
  <w:endnote w:type="continuationSeparator" w:id="0">
    <w:p w14:paraId="5C8EDD68" w14:textId="77777777" w:rsidR="003E390D" w:rsidRDefault="003E390D" w:rsidP="00856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462437"/>
      <w:docPartObj>
        <w:docPartGallery w:val="Page Numbers (Bottom of Page)"/>
        <w:docPartUnique/>
      </w:docPartObj>
    </w:sdtPr>
    <w:sdtContent>
      <w:p w14:paraId="65F46149" w14:textId="7F13A5ED" w:rsidR="00371514" w:rsidRDefault="00371514">
        <w:pPr>
          <w:pStyle w:val="Footer"/>
          <w:jc w:val="center"/>
        </w:pPr>
        <w:r>
          <w:fldChar w:fldCharType="begin"/>
        </w:r>
        <w:r>
          <w:instrText>PAGE   \* MERGEFORMAT</w:instrText>
        </w:r>
        <w:r>
          <w:fldChar w:fldCharType="separate"/>
        </w:r>
        <w:r>
          <w:rPr>
            <w:lang w:val="fr-FR"/>
          </w:rPr>
          <w:t>2</w:t>
        </w:r>
        <w:r>
          <w:fldChar w:fldCharType="end"/>
        </w:r>
      </w:p>
    </w:sdtContent>
  </w:sdt>
  <w:p w14:paraId="274434FD" w14:textId="77777777" w:rsidR="00371514" w:rsidRDefault="00371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FCB4" w14:textId="77777777" w:rsidR="003E390D" w:rsidRDefault="003E390D" w:rsidP="00856FFA">
      <w:r>
        <w:separator/>
      </w:r>
    </w:p>
  </w:footnote>
  <w:footnote w:type="continuationSeparator" w:id="0">
    <w:p w14:paraId="18CDA256" w14:textId="77777777" w:rsidR="003E390D" w:rsidRDefault="003E390D" w:rsidP="00856FFA">
      <w:r>
        <w:continuationSeparator/>
      </w:r>
    </w:p>
  </w:footnote>
  <w:footnote w:id="1">
    <w:p w14:paraId="7D7C4936" w14:textId="10CC86F0" w:rsidR="001C3BEC" w:rsidRPr="001C3BEC" w:rsidRDefault="001C3BEC" w:rsidP="00856FFA">
      <w:pPr>
        <w:pStyle w:val="FootnoteText"/>
      </w:pPr>
      <w:r>
        <w:rPr>
          <w:rStyle w:val="FootnoteReference"/>
        </w:rPr>
        <w:footnoteRef/>
      </w:r>
      <w:r>
        <w:t xml:space="preserve"> </w:t>
      </w:r>
      <w:r w:rsidRPr="001C3BEC">
        <w:t>Thomas F. Cargill and Ge</w:t>
      </w:r>
      <w:r w:rsidR="00407DE7">
        <w:t>r</w:t>
      </w:r>
      <w:r w:rsidRPr="001C3BEC">
        <w:t>ald P. O’Driscoll Jr., “Federal Reserve Independen</w:t>
      </w:r>
      <w:r w:rsidR="00407DE7">
        <w:t>c</w:t>
      </w:r>
      <w:r w:rsidRPr="001C3BEC">
        <w:t xml:space="preserve">e: Reality or Myth?,” </w:t>
      </w:r>
      <w:r w:rsidRPr="001C3BEC">
        <w:rPr>
          <w:i/>
          <w:iCs/>
        </w:rPr>
        <w:t>Cato Journal</w:t>
      </w:r>
      <w:r w:rsidRPr="001C3BEC">
        <w:t xml:space="preserve"> 33, no. 3 (201</w:t>
      </w:r>
      <w:r w:rsidR="00407DE7">
        <w:t>3</w:t>
      </w:r>
      <w:r w:rsidRPr="001C3BEC">
        <w:t>): 424–25.</w:t>
      </w:r>
    </w:p>
  </w:footnote>
  <w:footnote w:id="2">
    <w:p w14:paraId="5023ECA6" w14:textId="639EA586" w:rsidR="001C3BEC" w:rsidRPr="001C3BEC" w:rsidRDefault="001C3BEC" w:rsidP="00856FFA">
      <w:pPr>
        <w:pStyle w:val="FootnoteText"/>
      </w:pPr>
      <w:r>
        <w:rPr>
          <w:rStyle w:val="FootnoteReference"/>
        </w:rPr>
        <w:footnoteRef/>
      </w:r>
      <w:r>
        <w:t xml:space="preserve"> </w:t>
      </w:r>
      <w:r w:rsidRPr="001C3BEC">
        <w:t>Cargill and O’Driscoll, “Federal R</w:t>
      </w:r>
      <w:r w:rsidR="00407DE7">
        <w:t>e</w:t>
      </w:r>
      <w:r w:rsidRPr="001C3BEC">
        <w:t>serve Independence,” 425–2</w:t>
      </w:r>
      <w:r w:rsidR="00407DE7">
        <w:t>6.</w:t>
      </w:r>
    </w:p>
  </w:footnote>
  <w:footnote w:id="3">
    <w:p w14:paraId="5E4B2FAB" w14:textId="77777777" w:rsidR="004E7409" w:rsidRPr="003B3B54" w:rsidRDefault="004E7409" w:rsidP="004E7409">
      <w:pPr>
        <w:pStyle w:val="FootnoteText"/>
      </w:pPr>
      <w:r w:rsidRPr="003B3B54">
        <w:rPr>
          <w:rStyle w:val="FootnoteReference"/>
        </w:rPr>
        <w:footnoteRef/>
      </w:r>
      <w:r w:rsidRPr="003B3B54">
        <w:t xml:space="preserve"> Burton A. Abrams, “How Richard Nixon Pressured Arthur Burns: Evidence from the Nixon Tapes,” </w:t>
      </w:r>
      <w:r w:rsidRPr="003B3B54">
        <w:rPr>
          <w:i/>
          <w:iCs/>
        </w:rPr>
        <w:t>Journal of Economic Perspectives</w:t>
      </w:r>
      <w:r w:rsidRPr="003B3B54">
        <w:t xml:space="preserve"> 20, no. 4 (December 2006): </w:t>
      </w:r>
      <w:r>
        <w:t>185.</w:t>
      </w:r>
    </w:p>
  </w:footnote>
  <w:footnote w:id="4">
    <w:p w14:paraId="58E0826C" w14:textId="77777777" w:rsidR="004E7409" w:rsidRPr="009567E3" w:rsidRDefault="004E7409" w:rsidP="004E7409">
      <w:pPr>
        <w:pStyle w:val="FootnoteText"/>
      </w:pPr>
      <w:r>
        <w:rPr>
          <w:rStyle w:val="FootnoteReference"/>
        </w:rPr>
        <w:footnoteRef/>
      </w:r>
      <w:r>
        <w:t xml:space="preserve"> </w:t>
      </w:r>
      <w:r w:rsidRPr="009567E3">
        <w:t>John B. Connally, conversation with Richard Nixon and H. R. Haldeman, March 5, 1971, Conversation No. 462–15, Oval Office, White House Tapes, Richard Nixon Presidential Library and Museum.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BEA33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1397C30"/>
    <w:multiLevelType w:val="multilevel"/>
    <w:tmpl w:val="03D8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E2E39"/>
    <w:multiLevelType w:val="multilevel"/>
    <w:tmpl w:val="F3EA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2450E"/>
    <w:multiLevelType w:val="multilevel"/>
    <w:tmpl w:val="EA7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276FD"/>
    <w:multiLevelType w:val="multilevel"/>
    <w:tmpl w:val="32C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57442"/>
    <w:multiLevelType w:val="multilevel"/>
    <w:tmpl w:val="B79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61B16"/>
    <w:multiLevelType w:val="multilevel"/>
    <w:tmpl w:val="B42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A16A0"/>
    <w:multiLevelType w:val="multilevel"/>
    <w:tmpl w:val="570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630D0"/>
    <w:multiLevelType w:val="multilevel"/>
    <w:tmpl w:val="E1586F48"/>
    <w:lvl w:ilvl="0">
      <w:start w:val="1"/>
      <w:numFmt w:val="decimal"/>
      <w:lvlText w:val="%1)"/>
      <w:lvlJc w:val="left"/>
      <w:pPr>
        <w:tabs>
          <w:tab w:val="num" w:pos="360"/>
        </w:tabs>
        <w:ind w:left="360" w:hanging="360"/>
      </w:pPr>
      <w:rPr>
        <w:rFonts w:ascii="Times New Roman" w:eastAsiaTheme="minorEastAsia"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F44079E"/>
    <w:multiLevelType w:val="multilevel"/>
    <w:tmpl w:val="EB8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41985"/>
    <w:multiLevelType w:val="multilevel"/>
    <w:tmpl w:val="63D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06144"/>
    <w:multiLevelType w:val="multilevel"/>
    <w:tmpl w:val="6F7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945C8"/>
    <w:multiLevelType w:val="multilevel"/>
    <w:tmpl w:val="9C4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E1C40"/>
    <w:multiLevelType w:val="multilevel"/>
    <w:tmpl w:val="0F0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00C4C"/>
    <w:multiLevelType w:val="multilevel"/>
    <w:tmpl w:val="EE0E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07609"/>
    <w:multiLevelType w:val="multilevel"/>
    <w:tmpl w:val="249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2316C"/>
    <w:multiLevelType w:val="multilevel"/>
    <w:tmpl w:val="5138400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5653738F"/>
    <w:multiLevelType w:val="multilevel"/>
    <w:tmpl w:val="02B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E4F0A"/>
    <w:multiLevelType w:val="multilevel"/>
    <w:tmpl w:val="F9D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95BD1"/>
    <w:multiLevelType w:val="multilevel"/>
    <w:tmpl w:val="554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B53D7"/>
    <w:multiLevelType w:val="multilevel"/>
    <w:tmpl w:val="417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34B00"/>
    <w:multiLevelType w:val="multilevel"/>
    <w:tmpl w:val="204434F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6FB66CF4"/>
    <w:multiLevelType w:val="multilevel"/>
    <w:tmpl w:val="506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80384"/>
    <w:multiLevelType w:val="multilevel"/>
    <w:tmpl w:val="0E10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231036">
    <w:abstractNumId w:val="20"/>
  </w:num>
  <w:num w:numId="2" w16cid:durableId="1804931313">
    <w:abstractNumId w:val="10"/>
  </w:num>
  <w:num w:numId="3" w16cid:durableId="2095734982">
    <w:abstractNumId w:val="5"/>
  </w:num>
  <w:num w:numId="4" w16cid:durableId="1957246627">
    <w:abstractNumId w:val="15"/>
  </w:num>
  <w:num w:numId="5" w16cid:durableId="483664451">
    <w:abstractNumId w:val="17"/>
  </w:num>
  <w:num w:numId="6" w16cid:durableId="761879773">
    <w:abstractNumId w:val="1"/>
  </w:num>
  <w:num w:numId="7" w16cid:durableId="183711199">
    <w:abstractNumId w:val="19"/>
  </w:num>
  <w:num w:numId="8" w16cid:durableId="694186642">
    <w:abstractNumId w:val="23"/>
  </w:num>
  <w:num w:numId="9" w16cid:durableId="698043804">
    <w:abstractNumId w:val="4"/>
  </w:num>
  <w:num w:numId="10" w16cid:durableId="498741485">
    <w:abstractNumId w:val="8"/>
  </w:num>
  <w:num w:numId="11" w16cid:durableId="1048648978">
    <w:abstractNumId w:val="7"/>
  </w:num>
  <w:num w:numId="12" w16cid:durableId="1145929139">
    <w:abstractNumId w:val="22"/>
  </w:num>
  <w:num w:numId="13" w16cid:durableId="418599705">
    <w:abstractNumId w:val="6"/>
  </w:num>
  <w:num w:numId="14" w16cid:durableId="153646344">
    <w:abstractNumId w:val="9"/>
  </w:num>
  <w:num w:numId="15" w16cid:durableId="612396411">
    <w:abstractNumId w:val="3"/>
  </w:num>
  <w:num w:numId="16" w16cid:durableId="814025221">
    <w:abstractNumId w:val="12"/>
  </w:num>
  <w:num w:numId="17" w16cid:durableId="997920690">
    <w:abstractNumId w:val="2"/>
  </w:num>
  <w:num w:numId="18" w16cid:durableId="1921791666">
    <w:abstractNumId w:val="18"/>
  </w:num>
  <w:num w:numId="19" w16cid:durableId="2085060034">
    <w:abstractNumId w:val="13"/>
  </w:num>
  <w:num w:numId="20" w16cid:durableId="239951439">
    <w:abstractNumId w:val="14"/>
  </w:num>
  <w:num w:numId="21" w16cid:durableId="894394583">
    <w:abstractNumId w:val="11"/>
  </w:num>
  <w:num w:numId="22" w16cid:durableId="1225146126">
    <w:abstractNumId w:val="0"/>
  </w:num>
  <w:num w:numId="23" w16cid:durableId="9937232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470941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7C9"/>
    <w:rsid w:val="0000144A"/>
    <w:rsid w:val="000036FF"/>
    <w:rsid w:val="00003A8E"/>
    <w:rsid w:val="00016926"/>
    <w:rsid w:val="00021051"/>
    <w:rsid w:val="00021700"/>
    <w:rsid w:val="00026527"/>
    <w:rsid w:val="000352BA"/>
    <w:rsid w:val="00035E5D"/>
    <w:rsid w:val="0004256C"/>
    <w:rsid w:val="00046573"/>
    <w:rsid w:val="00050133"/>
    <w:rsid w:val="00052792"/>
    <w:rsid w:val="00061172"/>
    <w:rsid w:val="00062512"/>
    <w:rsid w:val="0006455A"/>
    <w:rsid w:val="000718C4"/>
    <w:rsid w:val="0007199C"/>
    <w:rsid w:val="00073AD4"/>
    <w:rsid w:val="000765AA"/>
    <w:rsid w:val="00076BF3"/>
    <w:rsid w:val="0008029E"/>
    <w:rsid w:val="00080DA7"/>
    <w:rsid w:val="000817C9"/>
    <w:rsid w:val="0008353A"/>
    <w:rsid w:val="0009144B"/>
    <w:rsid w:val="0009413D"/>
    <w:rsid w:val="00094526"/>
    <w:rsid w:val="000948FD"/>
    <w:rsid w:val="000974CC"/>
    <w:rsid w:val="00097BA1"/>
    <w:rsid w:val="00097D98"/>
    <w:rsid w:val="000A46EA"/>
    <w:rsid w:val="000C16B7"/>
    <w:rsid w:val="000C6A05"/>
    <w:rsid w:val="000D14C0"/>
    <w:rsid w:val="000E12BB"/>
    <w:rsid w:val="000E3562"/>
    <w:rsid w:val="000F07BA"/>
    <w:rsid w:val="000F43F1"/>
    <w:rsid w:val="000F5CD0"/>
    <w:rsid w:val="00110ACF"/>
    <w:rsid w:val="001133A7"/>
    <w:rsid w:val="0011459F"/>
    <w:rsid w:val="00114AC5"/>
    <w:rsid w:val="00114DB5"/>
    <w:rsid w:val="001221E3"/>
    <w:rsid w:val="0012265D"/>
    <w:rsid w:val="0012412D"/>
    <w:rsid w:val="00124A67"/>
    <w:rsid w:val="00130E67"/>
    <w:rsid w:val="001444EB"/>
    <w:rsid w:val="00144BDC"/>
    <w:rsid w:val="001453F6"/>
    <w:rsid w:val="0014687D"/>
    <w:rsid w:val="001519C7"/>
    <w:rsid w:val="00151CA5"/>
    <w:rsid w:val="00151FA2"/>
    <w:rsid w:val="0015431C"/>
    <w:rsid w:val="00165571"/>
    <w:rsid w:val="00166662"/>
    <w:rsid w:val="001672B0"/>
    <w:rsid w:val="00174A66"/>
    <w:rsid w:val="00175CA1"/>
    <w:rsid w:val="001829A4"/>
    <w:rsid w:val="00183B9E"/>
    <w:rsid w:val="00187D51"/>
    <w:rsid w:val="00190242"/>
    <w:rsid w:val="00191566"/>
    <w:rsid w:val="00193142"/>
    <w:rsid w:val="00197646"/>
    <w:rsid w:val="001A600B"/>
    <w:rsid w:val="001A6626"/>
    <w:rsid w:val="001A7A53"/>
    <w:rsid w:val="001B3706"/>
    <w:rsid w:val="001B606D"/>
    <w:rsid w:val="001C3BEC"/>
    <w:rsid w:val="001C3C54"/>
    <w:rsid w:val="001C48A0"/>
    <w:rsid w:val="001D1D30"/>
    <w:rsid w:val="001D5114"/>
    <w:rsid w:val="001E0FF9"/>
    <w:rsid w:val="001F2280"/>
    <w:rsid w:val="00203D73"/>
    <w:rsid w:val="0020425F"/>
    <w:rsid w:val="00204CE4"/>
    <w:rsid w:val="00213EBF"/>
    <w:rsid w:val="00220A64"/>
    <w:rsid w:val="002215A6"/>
    <w:rsid w:val="002224EE"/>
    <w:rsid w:val="00230512"/>
    <w:rsid w:val="002310BE"/>
    <w:rsid w:val="0023221F"/>
    <w:rsid w:val="00233D8F"/>
    <w:rsid w:val="002354A7"/>
    <w:rsid w:val="00235A85"/>
    <w:rsid w:val="00236330"/>
    <w:rsid w:val="002457CC"/>
    <w:rsid w:val="002465FA"/>
    <w:rsid w:val="00254D9E"/>
    <w:rsid w:val="00255C72"/>
    <w:rsid w:val="00262E14"/>
    <w:rsid w:val="00264C28"/>
    <w:rsid w:val="00275D5E"/>
    <w:rsid w:val="00283E7F"/>
    <w:rsid w:val="002911C0"/>
    <w:rsid w:val="00292EEB"/>
    <w:rsid w:val="0029796F"/>
    <w:rsid w:val="00297BDD"/>
    <w:rsid w:val="002A01B7"/>
    <w:rsid w:val="002A164B"/>
    <w:rsid w:val="002A4295"/>
    <w:rsid w:val="002B4028"/>
    <w:rsid w:val="002B541C"/>
    <w:rsid w:val="002B5960"/>
    <w:rsid w:val="002B7564"/>
    <w:rsid w:val="002B7961"/>
    <w:rsid w:val="002C2087"/>
    <w:rsid w:val="002C2EE2"/>
    <w:rsid w:val="002C3F9D"/>
    <w:rsid w:val="002C4071"/>
    <w:rsid w:val="002C4093"/>
    <w:rsid w:val="002C4B79"/>
    <w:rsid w:val="002C4DE7"/>
    <w:rsid w:val="002D0479"/>
    <w:rsid w:val="002D49EB"/>
    <w:rsid w:val="002D5047"/>
    <w:rsid w:val="002E7AE0"/>
    <w:rsid w:val="003001F7"/>
    <w:rsid w:val="003016D1"/>
    <w:rsid w:val="00303D51"/>
    <w:rsid w:val="00311B8B"/>
    <w:rsid w:val="00314C35"/>
    <w:rsid w:val="0032182F"/>
    <w:rsid w:val="00330B4F"/>
    <w:rsid w:val="0033106E"/>
    <w:rsid w:val="003432A6"/>
    <w:rsid w:val="00352935"/>
    <w:rsid w:val="00353083"/>
    <w:rsid w:val="00355A6E"/>
    <w:rsid w:val="00356365"/>
    <w:rsid w:val="0036516E"/>
    <w:rsid w:val="00366F6F"/>
    <w:rsid w:val="00370BE3"/>
    <w:rsid w:val="00371514"/>
    <w:rsid w:val="00374298"/>
    <w:rsid w:val="00375A3D"/>
    <w:rsid w:val="0037691F"/>
    <w:rsid w:val="00383A74"/>
    <w:rsid w:val="00387E8A"/>
    <w:rsid w:val="0039459E"/>
    <w:rsid w:val="003A4F63"/>
    <w:rsid w:val="003A540E"/>
    <w:rsid w:val="003A7059"/>
    <w:rsid w:val="003A7C14"/>
    <w:rsid w:val="003B20AA"/>
    <w:rsid w:val="003B3B54"/>
    <w:rsid w:val="003B60FE"/>
    <w:rsid w:val="003C06F6"/>
    <w:rsid w:val="003C1E29"/>
    <w:rsid w:val="003C4FA0"/>
    <w:rsid w:val="003C68C0"/>
    <w:rsid w:val="003C6A11"/>
    <w:rsid w:val="003D447A"/>
    <w:rsid w:val="003E0E62"/>
    <w:rsid w:val="003E390D"/>
    <w:rsid w:val="003F535D"/>
    <w:rsid w:val="00403A7A"/>
    <w:rsid w:val="004055C9"/>
    <w:rsid w:val="00407DE7"/>
    <w:rsid w:val="00410D70"/>
    <w:rsid w:val="00411872"/>
    <w:rsid w:val="0042195D"/>
    <w:rsid w:val="0042433F"/>
    <w:rsid w:val="00437636"/>
    <w:rsid w:val="00444F22"/>
    <w:rsid w:val="00447EEE"/>
    <w:rsid w:val="00453593"/>
    <w:rsid w:val="00460D0A"/>
    <w:rsid w:val="0046148F"/>
    <w:rsid w:val="004712C1"/>
    <w:rsid w:val="00474D0B"/>
    <w:rsid w:val="00477123"/>
    <w:rsid w:val="0047764E"/>
    <w:rsid w:val="00493E64"/>
    <w:rsid w:val="00496901"/>
    <w:rsid w:val="00496ED8"/>
    <w:rsid w:val="004A3FAD"/>
    <w:rsid w:val="004A6248"/>
    <w:rsid w:val="004B51A9"/>
    <w:rsid w:val="004C1000"/>
    <w:rsid w:val="004C5E0E"/>
    <w:rsid w:val="004E6557"/>
    <w:rsid w:val="004E7409"/>
    <w:rsid w:val="004F4685"/>
    <w:rsid w:val="004F4F8A"/>
    <w:rsid w:val="004F63EC"/>
    <w:rsid w:val="00502AB0"/>
    <w:rsid w:val="00502E2E"/>
    <w:rsid w:val="00510181"/>
    <w:rsid w:val="005141A0"/>
    <w:rsid w:val="0051460B"/>
    <w:rsid w:val="0051754B"/>
    <w:rsid w:val="00520442"/>
    <w:rsid w:val="00523624"/>
    <w:rsid w:val="005339CE"/>
    <w:rsid w:val="005527BB"/>
    <w:rsid w:val="00552B91"/>
    <w:rsid w:val="005539E5"/>
    <w:rsid w:val="00556CBB"/>
    <w:rsid w:val="00565A9B"/>
    <w:rsid w:val="00566F97"/>
    <w:rsid w:val="00572A68"/>
    <w:rsid w:val="00575A0D"/>
    <w:rsid w:val="005848F7"/>
    <w:rsid w:val="005870A6"/>
    <w:rsid w:val="00590803"/>
    <w:rsid w:val="00590F9D"/>
    <w:rsid w:val="005944BE"/>
    <w:rsid w:val="00595563"/>
    <w:rsid w:val="005C0281"/>
    <w:rsid w:val="005C08A5"/>
    <w:rsid w:val="005C47A3"/>
    <w:rsid w:val="005C5F7E"/>
    <w:rsid w:val="005D0051"/>
    <w:rsid w:val="005E18EE"/>
    <w:rsid w:val="005E2196"/>
    <w:rsid w:val="005E4A1B"/>
    <w:rsid w:val="005F0A11"/>
    <w:rsid w:val="005F114D"/>
    <w:rsid w:val="005F6A01"/>
    <w:rsid w:val="00600FFD"/>
    <w:rsid w:val="0060312B"/>
    <w:rsid w:val="0060333F"/>
    <w:rsid w:val="0060420E"/>
    <w:rsid w:val="0060442E"/>
    <w:rsid w:val="0061160A"/>
    <w:rsid w:val="00612CF1"/>
    <w:rsid w:val="006223FF"/>
    <w:rsid w:val="00624816"/>
    <w:rsid w:val="00637E1D"/>
    <w:rsid w:val="0064447B"/>
    <w:rsid w:val="00644CC8"/>
    <w:rsid w:val="006511B2"/>
    <w:rsid w:val="00653EBF"/>
    <w:rsid w:val="00660557"/>
    <w:rsid w:val="00661C77"/>
    <w:rsid w:val="00663B16"/>
    <w:rsid w:val="006645E8"/>
    <w:rsid w:val="00664719"/>
    <w:rsid w:val="00667085"/>
    <w:rsid w:val="0067178B"/>
    <w:rsid w:val="00676EDB"/>
    <w:rsid w:val="00681E06"/>
    <w:rsid w:val="006845B5"/>
    <w:rsid w:val="00684C5C"/>
    <w:rsid w:val="00697A3C"/>
    <w:rsid w:val="006A46C7"/>
    <w:rsid w:val="006A47FC"/>
    <w:rsid w:val="006A49A1"/>
    <w:rsid w:val="006C0C12"/>
    <w:rsid w:val="006C27CB"/>
    <w:rsid w:val="006C48EF"/>
    <w:rsid w:val="006D0C9F"/>
    <w:rsid w:val="006D1071"/>
    <w:rsid w:val="006D1C5C"/>
    <w:rsid w:val="006D55B5"/>
    <w:rsid w:val="006F0339"/>
    <w:rsid w:val="006F746F"/>
    <w:rsid w:val="0071138A"/>
    <w:rsid w:val="007117A9"/>
    <w:rsid w:val="00714B7E"/>
    <w:rsid w:val="00720F4B"/>
    <w:rsid w:val="00724CDF"/>
    <w:rsid w:val="00725B53"/>
    <w:rsid w:val="00742B96"/>
    <w:rsid w:val="00747238"/>
    <w:rsid w:val="007524EA"/>
    <w:rsid w:val="00763C88"/>
    <w:rsid w:val="00770BE5"/>
    <w:rsid w:val="00780D74"/>
    <w:rsid w:val="007825E2"/>
    <w:rsid w:val="00782EE5"/>
    <w:rsid w:val="00783AD7"/>
    <w:rsid w:val="00785BB9"/>
    <w:rsid w:val="00790526"/>
    <w:rsid w:val="007A25AA"/>
    <w:rsid w:val="007B0864"/>
    <w:rsid w:val="007B5987"/>
    <w:rsid w:val="007C00AE"/>
    <w:rsid w:val="007C56C7"/>
    <w:rsid w:val="007D202D"/>
    <w:rsid w:val="007E150D"/>
    <w:rsid w:val="007E1DEA"/>
    <w:rsid w:val="007E2D39"/>
    <w:rsid w:val="007E52C7"/>
    <w:rsid w:val="007E55A0"/>
    <w:rsid w:val="007F1606"/>
    <w:rsid w:val="007F18C2"/>
    <w:rsid w:val="007F5ACB"/>
    <w:rsid w:val="00802C6F"/>
    <w:rsid w:val="0080474E"/>
    <w:rsid w:val="0080611E"/>
    <w:rsid w:val="00812491"/>
    <w:rsid w:val="008156C8"/>
    <w:rsid w:val="00826809"/>
    <w:rsid w:val="00835839"/>
    <w:rsid w:val="00845AA1"/>
    <w:rsid w:val="00855C71"/>
    <w:rsid w:val="00856FFA"/>
    <w:rsid w:val="00867727"/>
    <w:rsid w:val="00870887"/>
    <w:rsid w:val="00870E6D"/>
    <w:rsid w:val="00887281"/>
    <w:rsid w:val="00891BF4"/>
    <w:rsid w:val="008A3B98"/>
    <w:rsid w:val="008A61C6"/>
    <w:rsid w:val="008C079D"/>
    <w:rsid w:val="008C4004"/>
    <w:rsid w:val="008C738D"/>
    <w:rsid w:val="008D2698"/>
    <w:rsid w:val="008D4B20"/>
    <w:rsid w:val="008D6928"/>
    <w:rsid w:val="008E06A6"/>
    <w:rsid w:val="008E25B6"/>
    <w:rsid w:val="008E26B8"/>
    <w:rsid w:val="008E6424"/>
    <w:rsid w:val="008F2BF3"/>
    <w:rsid w:val="008F571E"/>
    <w:rsid w:val="00900803"/>
    <w:rsid w:val="00907053"/>
    <w:rsid w:val="00911F40"/>
    <w:rsid w:val="00914163"/>
    <w:rsid w:val="009175F6"/>
    <w:rsid w:val="00920660"/>
    <w:rsid w:val="00923EB4"/>
    <w:rsid w:val="0093338B"/>
    <w:rsid w:val="00935846"/>
    <w:rsid w:val="0094456D"/>
    <w:rsid w:val="009567E3"/>
    <w:rsid w:val="009717B9"/>
    <w:rsid w:val="00971D1A"/>
    <w:rsid w:val="00972211"/>
    <w:rsid w:val="00974E03"/>
    <w:rsid w:val="00986B76"/>
    <w:rsid w:val="009928ED"/>
    <w:rsid w:val="0099791E"/>
    <w:rsid w:val="009B19BB"/>
    <w:rsid w:val="009B769F"/>
    <w:rsid w:val="009C2A6E"/>
    <w:rsid w:val="009C77B6"/>
    <w:rsid w:val="009D1A07"/>
    <w:rsid w:val="009E048A"/>
    <w:rsid w:val="009F09B9"/>
    <w:rsid w:val="009F28DA"/>
    <w:rsid w:val="009F28FA"/>
    <w:rsid w:val="009F4FC1"/>
    <w:rsid w:val="009F5535"/>
    <w:rsid w:val="00A011FF"/>
    <w:rsid w:val="00A031CF"/>
    <w:rsid w:val="00A051BB"/>
    <w:rsid w:val="00A07528"/>
    <w:rsid w:val="00A101A8"/>
    <w:rsid w:val="00A13F3C"/>
    <w:rsid w:val="00A15BB8"/>
    <w:rsid w:val="00A24B37"/>
    <w:rsid w:val="00A253B0"/>
    <w:rsid w:val="00A32B44"/>
    <w:rsid w:val="00A37AB0"/>
    <w:rsid w:val="00A41C72"/>
    <w:rsid w:val="00A53544"/>
    <w:rsid w:val="00A536BE"/>
    <w:rsid w:val="00A55842"/>
    <w:rsid w:val="00A61612"/>
    <w:rsid w:val="00A63AA3"/>
    <w:rsid w:val="00A67BFF"/>
    <w:rsid w:val="00A832A9"/>
    <w:rsid w:val="00A8704A"/>
    <w:rsid w:val="00A90571"/>
    <w:rsid w:val="00A926EB"/>
    <w:rsid w:val="00A96A87"/>
    <w:rsid w:val="00AA0726"/>
    <w:rsid w:val="00AA22FE"/>
    <w:rsid w:val="00AA52C4"/>
    <w:rsid w:val="00AA65EB"/>
    <w:rsid w:val="00AD10D5"/>
    <w:rsid w:val="00AD3B85"/>
    <w:rsid w:val="00AE188D"/>
    <w:rsid w:val="00AF47F3"/>
    <w:rsid w:val="00B00668"/>
    <w:rsid w:val="00B00D6B"/>
    <w:rsid w:val="00B019F3"/>
    <w:rsid w:val="00B02DC8"/>
    <w:rsid w:val="00B04C7C"/>
    <w:rsid w:val="00B142DE"/>
    <w:rsid w:val="00B17C56"/>
    <w:rsid w:val="00B335E3"/>
    <w:rsid w:val="00B35776"/>
    <w:rsid w:val="00B3599F"/>
    <w:rsid w:val="00B3694A"/>
    <w:rsid w:val="00B40B78"/>
    <w:rsid w:val="00B41BAA"/>
    <w:rsid w:val="00B421FB"/>
    <w:rsid w:val="00B44C40"/>
    <w:rsid w:val="00B45921"/>
    <w:rsid w:val="00B51266"/>
    <w:rsid w:val="00B53164"/>
    <w:rsid w:val="00B775FB"/>
    <w:rsid w:val="00B8272D"/>
    <w:rsid w:val="00B83DAA"/>
    <w:rsid w:val="00B854E2"/>
    <w:rsid w:val="00B93217"/>
    <w:rsid w:val="00B9358C"/>
    <w:rsid w:val="00B94E7C"/>
    <w:rsid w:val="00BA02D3"/>
    <w:rsid w:val="00BA3503"/>
    <w:rsid w:val="00BB4AFA"/>
    <w:rsid w:val="00BB4DE2"/>
    <w:rsid w:val="00BB731A"/>
    <w:rsid w:val="00BC58CF"/>
    <w:rsid w:val="00BD4400"/>
    <w:rsid w:val="00BD709F"/>
    <w:rsid w:val="00BE6432"/>
    <w:rsid w:val="00BF20D9"/>
    <w:rsid w:val="00C01A43"/>
    <w:rsid w:val="00C0286D"/>
    <w:rsid w:val="00C10AA6"/>
    <w:rsid w:val="00C16CA6"/>
    <w:rsid w:val="00C172FA"/>
    <w:rsid w:val="00C17931"/>
    <w:rsid w:val="00C2556F"/>
    <w:rsid w:val="00C257C8"/>
    <w:rsid w:val="00C26280"/>
    <w:rsid w:val="00C26D78"/>
    <w:rsid w:val="00C30106"/>
    <w:rsid w:val="00C43AB8"/>
    <w:rsid w:val="00C45E30"/>
    <w:rsid w:val="00C50AFA"/>
    <w:rsid w:val="00C519CD"/>
    <w:rsid w:val="00C5751C"/>
    <w:rsid w:val="00C7016E"/>
    <w:rsid w:val="00C74AC0"/>
    <w:rsid w:val="00C74EA1"/>
    <w:rsid w:val="00C820B4"/>
    <w:rsid w:val="00C9660E"/>
    <w:rsid w:val="00CA0DB0"/>
    <w:rsid w:val="00CA3CB1"/>
    <w:rsid w:val="00CA63CF"/>
    <w:rsid w:val="00CA6FFD"/>
    <w:rsid w:val="00CB280F"/>
    <w:rsid w:val="00CB5DB7"/>
    <w:rsid w:val="00CC1EB2"/>
    <w:rsid w:val="00CC220E"/>
    <w:rsid w:val="00CC3A94"/>
    <w:rsid w:val="00CC5610"/>
    <w:rsid w:val="00CD1C3E"/>
    <w:rsid w:val="00CD5B7A"/>
    <w:rsid w:val="00CD67D2"/>
    <w:rsid w:val="00CE280E"/>
    <w:rsid w:val="00CF13D9"/>
    <w:rsid w:val="00CF2290"/>
    <w:rsid w:val="00D13D51"/>
    <w:rsid w:val="00D15406"/>
    <w:rsid w:val="00D31B14"/>
    <w:rsid w:val="00D3531F"/>
    <w:rsid w:val="00D41674"/>
    <w:rsid w:val="00D44AB8"/>
    <w:rsid w:val="00D44AE6"/>
    <w:rsid w:val="00D51E29"/>
    <w:rsid w:val="00D5268E"/>
    <w:rsid w:val="00D570B2"/>
    <w:rsid w:val="00D576AE"/>
    <w:rsid w:val="00D603C8"/>
    <w:rsid w:val="00D60A8D"/>
    <w:rsid w:val="00D613C7"/>
    <w:rsid w:val="00D63DA0"/>
    <w:rsid w:val="00D66F58"/>
    <w:rsid w:val="00D704C9"/>
    <w:rsid w:val="00D90CEB"/>
    <w:rsid w:val="00DA0E4C"/>
    <w:rsid w:val="00DA6E3E"/>
    <w:rsid w:val="00DB7F3C"/>
    <w:rsid w:val="00DC2473"/>
    <w:rsid w:val="00DD129A"/>
    <w:rsid w:val="00DD22C3"/>
    <w:rsid w:val="00DD3AE6"/>
    <w:rsid w:val="00DE3237"/>
    <w:rsid w:val="00DF10E6"/>
    <w:rsid w:val="00DF4601"/>
    <w:rsid w:val="00DF4684"/>
    <w:rsid w:val="00DF54F4"/>
    <w:rsid w:val="00DF65CE"/>
    <w:rsid w:val="00DF6801"/>
    <w:rsid w:val="00E110F7"/>
    <w:rsid w:val="00E120C4"/>
    <w:rsid w:val="00E2078F"/>
    <w:rsid w:val="00E2278A"/>
    <w:rsid w:val="00E22C77"/>
    <w:rsid w:val="00E241DD"/>
    <w:rsid w:val="00E25D28"/>
    <w:rsid w:val="00E27A99"/>
    <w:rsid w:val="00E407C5"/>
    <w:rsid w:val="00E42722"/>
    <w:rsid w:val="00E46209"/>
    <w:rsid w:val="00E57BAC"/>
    <w:rsid w:val="00E603E0"/>
    <w:rsid w:val="00E67E36"/>
    <w:rsid w:val="00E73089"/>
    <w:rsid w:val="00E74B9B"/>
    <w:rsid w:val="00E76DF2"/>
    <w:rsid w:val="00E95D6F"/>
    <w:rsid w:val="00EA669C"/>
    <w:rsid w:val="00EA6814"/>
    <w:rsid w:val="00EA7396"/>
    <w:rsid w:val="00EB0C60"/>
    <w:rsid w:val="00EB6DCC"/>
    <w:rsid w:val="00EC2AA0"/>
    <w:rsid w:val="00EC326D"/>
    <w:rsid w:val="00EC3481"/>
    <w:rsid w:val="00EC360B"/>
    <w:rsid w:val="00EC7D25"/>
    <w:rsid w:val="00EE6D5D"/>
    <w:rsid w:val="00EF52C2"/>
    <w:rsid w:val="00EF6594"/>
    <w:rsid w:val="00F03173"/>
    <w:rsid w:val="00F05BE0"/>
    <w:rsid w:val="00F06F36"/>
    <w:rsid w:val="00F11B80"/>
    <w:rsid w:val="00F13150"/>
    <w:rsid w:val="00F207C9"/>
    <w:rsid w:val="00F23523"/>
    <w:rsid w:val="00F24B60"/>
    <w:rsid w:val="00F30ECC"/>
    <w:rsid w:val="00F3569C"/>
    <w:rsid w:val="00F368B5"/>
    <w:rsid w:val="00F54A60"/>
    <w:rsid w:val="00F54B0A"/>
    <w:rsid w:val="00F54D03"/>
    <w:rsid w:val="00F70246"/>
    <w:rsid w:val="00F74127"/>
    <w:rsid w:val="00F76065"/>
    <w:rsid w:val="00F808DE"/>
    <w:rsid w:val="00F87BE6"/>
    <w:rsid w:val="00FA100E"/>
    <w:rsid w:val="00FA4A7F"/>
    <w:rsid w:val="00FB5E74"/>
    <w:rsid w:val="00FC561A"/>
    <w:rsid w:val="00FD3C1C"/>
    <w:rsid w:val="00FE375E"/>
    <w:rsid w:val="00FF56F6"/>
    <w:rsid w:val="00FF5A52"/>
  </w:rsids>
  <m:mathPr>
    <m:mathFont m:val="Cambria Math"/>
    <m:brkBin m:val="before"/>
    <m:brkBinSub m:val="--"/>
    <m:smallFrac m:val="0"/>
    <m:dispDef/>
    <m:lMargin m:val="0"/>
    <m:rMargin m:val="0"/>
    <m:defJc m:val="centerGroup"/>
    <m:wrapIndent m:val="1440"/>
    <m:intLim m:val="subSup"/>
    <m:naryLim m:val="undOvr"/>
  </m:mathPr>
  <w:themeFontLang w:val="fr-B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18F7"/>
  <w15:chartTrackingRefBased/>
  <w15:docId w15:val="{CE648393-E34E-4D04-8D39-6AA8BA02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DA7"/>
    <w:rPr>
      <w:rFonts w:ascii="Times New Roman" w:hAnsi="Times New Roman" w:cs="Times New Roman"/>
      <w:lang w:val="en-US"/>
    </w:rPr>
  </w:style>
  <w:style w:type="paragraph" w:styleId="Heading1">
    <w:name w:val="heading 1"/>
    <w:basedOn w:val="Normal"/>
    <w:next w:val="Normal"/>
    <w:link w:val="Heading1Char"/>
    <w:uiPriority w:val="9"/>
    <w:qFormat/>
    <w:rsid w:val="000817C9"/>
    <w:pPr>
      <w:keepNext/>
      <w:keepLines/>
      <w:spacing w:before="360" w:after="80"/>
      <w:outlineLvl w:val="0"/>
    </w:pPr>
    <w:rPr>
      <w:rFonts w:eastAsiaTheme="majorEastAsia"/>
      <w:sz w:val="40"/>
      <w:szCs w:val="40"/>
      <w:lang w:val="fr-FR"/>
    </w:rPr>
  </w:style>
  <w:style w:type="paragraph" w:styleId="Heading2">
    <w:name w:val="heading 2"/>
    <w:basedOn w:val="Normal"/>
    <w:next w:val="Normal"/>
    <w:link w:val="Heading2Char"/>
    <w:uiPriority w:val="9"/>
    <w:unhideWhenUsed/>
    <w:qFormat/>
    <w:rsid w:val="00E110F7"/>
    <w:pPr>
      <w:keepNext/>
      <w:keepLines/>
      <w:spacing w:before="160" w:after="80"/>
      <w:outlineLvl w:val="1"/>
    </w:pPr>
    <w:rPr>
      <w:rFonts w:eastAsiaTheme="majorEastAsia"/>
      <w:color w:val="000000" w:themeColor="text1"/>
      <w:sz w:val="32"/>
      <w:szCs w:val="32"/>
    </w:rPr>
  </w:style>
  <w:style w:type="paragraph" w:styleId="Heading3">
    <w:name w:val="heading 3"/>
    <w:basedOn w:val="Normal"/>
    <w:next w:val="Normal"/>
    <w:link w:val="Heading3Char"/>
    <w:uiPriority w:val="9"/>
    <w:unhideWhenUsed/>
    <w:qFormat/>
    <w:rsid w:val="00986B76"/>
    <w:pPr>
      <w:keepNext/>
      <w:keepLines/>
      <w:spacing w:before="160" w:after="80"/>
      <w:outlineLvl w:val="2"/>
    </w:pPr>
    <w:rPr>
      <w:rFonts w:eastAsiaTheme="majorEastAsia"/>
      <w:color w:val="000000" w:themeColor="text1"/>
      <w:sz w:val="28"/>
      <w:szCs w:val="28"/>
    </w:rPr>
  </w:style>
  <w:style w:type="paragraph" w:styleId="Heading4">
    <w:name w:val="heading 4"/>
    <w:basedOn w:val="Normal"/>
    <w:next w:val="Normal"/>
    <w:link w:val="Heading4Char"/>
    <w:uiPriority w:val="9"/>
    <w:unhideWhenUsed/>
    <w:qFormat/>
    <w:rsid w:val="003A540E"/>
    <w:pPr>
      <w:keepNext/>
      <w:keepLines/>
      <w:spacing w:before="80" w:after="40"/>
      <w:outlineLvl w:val="3"/>
    </w:pPr>
    <w:rPr>
      <w:rFonts w:eastAsiaTheme="majorEastAsia" w:cstheme="majorBidi"/>
      <w:i/>
      <w:iCs/>
      <w:color w:val="000000" w:themeColor="text1"/>
      <w:lang w:val="ru-RU"/>
    </w:rPr>
  </w:style>
  <w:style w:type="paragraph" w:styleId="Heading5">
    <w:name w:val="heading 5"/>
    <w:basedOn w:val="Normal"/>
    <w:next w:val="Normal"/>
    <w:link w:val="Heading5Char"/>
    <w:uiPriority w:val="9"/>
    <w:semiHidden/>
    <w:unhideWhenUsed/>
    <w:qFormat/>
    <w:rsid w:val="000817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C9"/>
    <w:rPr>
      <w:rFonts w:ascii="Times New Roman" w:eastAsiaTheme="majorEastAsia" w:hAnsi="Times New Roman" w:cs="Times New Roman"/>
      <w:sz w:val="40"/>
      <w:szCs w:val="40"/>
      <w:lang w:val="fr-FR"/>
    </w:rPr>
  </w:style>
  <w:style w:type="character" w:customStyle="1" w:styleId="Heading2Char">
    <w:name w:val="Heading 2 Char"/>
    <w:basedOn w:val="DefaultParagraphFont"/>
    <w:link w:val="Heading2"/>
    <w:uiPriority w:val="9"/>
    <w:rsid w:val="00E110F7"/>
    <w:rPr>
      <w:rFonts w:ascii="Times New Roman" w:eastAsiaTheme="majorEastAsia" w:hAnsi="Times New Roman" w:cs="Times New Roman"/>
      <w:color w:val="000000" w:themeColor="text1"/>
      <w:sz w:val="32"/>
      <w:szCs w:val="32"/>
      <w:lang w:val="en-US"/>
    </w:rPr>
  </w:style>
  <w:style w:type="character" w:customStyle="1" w:styleId="Heading3Char">
    <w:name w:val="Heading 3 Char"/>
    <w:basedOn w:val="DefaultParagraphFont"/>
    <w:link w:val="Heading3"/>
    <w:uiPriority w:val="9"/>
    <w:rsid w:val="00986B76"/>
    <w:rPr>
      <w:rFonts w:ascii="Times New Roman" w:eastAsiaTheme="majorEastAsia" w:hAnsi="Times New Roman" w:cs="Times New Roman"/>
      <w:color w:val="000000" w:themeColor="text1"/>
      <w:sz w:val="28"/>
      <w:szCs w:val="28"/>
      <w:lang w:val="en-US"/>
    </w:rPr>
  </w:style>
  <w:style w:type="character" w:customStyle="1" w:styleId="Heading4Char">
    <w:name w:val="Heading 4 Char"/>
    <w:basedOn w:val="DefaultParagraphFont"/>
    <w:link w:val="Heading4"/>
    <w:uiPriority w:val="9"/>
    <w:rsid w:val="003A540E"/>
    <w:rPr>
      <w:rFonts w:ascii="Times New Roman" w:eastAsiaTheme="majorEastAsia" w:hAnsi="Times New Roman" w:cstheme="majorBidi"/>
      <w:i/>
      <w:iCs/>
      <w:color w:val="000000" w:themeColor="text1"/>
      <w:lang w:val="ru-RU"/>
    </w:rPr>
  </w:style>
  <w:style w:type="character" w:customStyle="1" w:styleId="Heading5Char">
    <w:name w:val="Heading 5 Char"/>
    <w:basedOn w:val="DefaultParagraphFont"/>
    <w:link w:val="Heading5"/>
    <w:uiPriority w:val="9"/>
    <w:semiHidden/>
    <w:rsid w:val="000817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C9"/>
    <w:rPr>
      <w:rFonts w:eastAsiaTheme="majorEastAsia" w:cstheme="majorBidi"/>
      <w:color w:val="272727" w:themeColor="text1" w:themeTint="D8"/>
    </w:rPr>
  </w:style>
  <w:style w:type="paragraph" w:styleId="Title">
    <w:name w:val="Title"/>
    <w:basedOn w:val="Normal"/>
    <w:next w:val="Normal"/>
    <w:link w:val="TitleChar"/>
    <w:uiPriority w:val="10"/>
    <w:qFormat/>
    <w:rsid w:val="000817C9"/>
    <w:pPr>
      <w:spacing w:after="80" w:line="240" w:lineRule="auto"/>
      <w:contextualSpacing/>
      <w:jc w:val="center"/>
    </w:pPr>
    <w:rPr>
      <w:rFonts w:eastAsiaTheme="majorEastAsia"/>
      <w:spacing w:val="-10"/>
      <w:kern w:val="28"/>
      <w:sz w:val="56"/>
      <w:szCs w:val="56"/>
      <w:lang w:val="fr-FR"/>
    </w:rPr>
  </w:style>
  <w:style w:type="character" w:customStyle="1" w:styleId="TitleChar">
    <w:name w:val="Title Char"/>
    <w:basedOn w:val="DefaultParagraphFont"/>
    <w:link w:val="Title"/>
    <w:uiPriority w:val="10"/>
    <w:rsid w:val="000817C9"/>
    <w:rPr>
      <w:rFonts w:ascii="Times New Roman" w:eastAsiaTheme="majorEastAsia" w:hAnsi="Times New Roman" w:cs="Times New Roman"/>
      <w:spacing w:val="-10"/>
      <w:kern w:val="28"/>
      <w:sz w:val="56"/>
      <w:szCs w:val="56"/>
      <w:lang w:val="fr-FR"/>
    </w:rPr>
  </w:style>
  <w:style w:type="paragraph" w:styleId="Subtitle">
    <w:name w:val="Subtitle"/>
    <w:basedOn w:val="Normal"/>
    <w:next w:val="Normal"/>
    <w:link w:val="SubtitleChar"/>
    <w:uiPriority w:val="11"/>
    <w:qFormat/>
    <w:rsid w:val="0008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7C9"/>
    <w:pPr>
      <w:spacing w:before="160"/>
      <w:jc w:val="center"/>
    </w:pPr>
    <w:rPr>
      <w:i/>
      <w:iCs/>
      <w:color w:val="404040" w:themeColor="text1" w:themeTint="BF"/>
    </w:rPr>
  </w:style>
  <w:style w:type="character" w:customStyle="1" w:styleId="QuoteChar">
    <w:name w:val="Quote Char"/>
    <w:basedOn w:val="DefaultParagraphFont"/>
    <w:link w:val="Quote"/>
    <w:uiPriority w:val="29"/>
    <w:rsid w:val="000817C9"/>
    <w:rPr>
      <w:i/>
      <w:iCs/>
      <w:color w:val="404040" w:themeColor="text1" w:themeTint="BF"/>
    </w:rPr>
  </w:style>
  <w:style w:type="paragraph" w:styleId="ListParagraph">
    <w:name w:val="List Paragraph"/>
    <w:basedOn w:val="Normal"/>
    <w:uiPriority w:val="34"/>
    <w:qFormat/>
    <w:rsid w:val="000817C9"/>
    <w:pPr>
      <w:ind w:left="720"/>
      <w:contextualSpacing/>
    </w:pPr>
  </w:style>
  <w:style w:type="character" w:styleId="IntenseEmphasis">
    <w:name w:val="Intense Emphasis"/>
    <w:basedOn w:val="DefaultParagraphFont"/>
    <w:uiPriority w:val="21"/>
    <w:qFormat/>
    <w:rsid w:val="000817C9"/>
    <w:rPr>
      <w:i/>
      <w:iCs/>
      <w:color w:val="2F5496" w:themeColor="accent1" w:themeShade="BF"/>
    </w:rPr>
  </w:style>
  <w:style w:type="paragraph" w:styleId="IntenseQuote">
    <w:name w:val="Intense Quote"/>
    <w:basedOn w:val="Normal"/>
    <w:next w:val="Normal"/>
    <w:link w:val="IntenseQuoteChar"/>
    <w:uiPriority w:val="30"/>
    <w:qFormat/>
    <w:rsid w:val="000817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7C9"/>
    <w:rPr>
      <w:i/>
      <w:iCs/>
      <w:color w:val="2F5496" w:themeColor="accent1" w:themeShade="BF"/>
    </w:rPr>
  </w:style>
  <w:style w:type="character" w:styleId="IntenseReference">
    <w:name w:val="Intense Reference"/>
    <w:basedOn w:val="DefaultParagraphFont"/>
    <w:uiPriority w:val="32"/>
    <w:qFormat/>
    <w:rsid w:val="000817C9"/>
    <w:rPr>
      <w:b/>
      <w:bCs/>
      <w:smallCaps/>
      <w:color w:val="2F5496" w:themeColor="accent1" w:themeShade="BF"/>
      <w:spacing w:val="5"/>
    </w:rPr>
  </w:style>
  <w:style w:type="paragraph" w:customStyle="1" w:styleId="Compact">
    <w:name w:val="Compact"/>
    <w:basedOn w:val="BodyText"/>
    <w:qFormat/>
    <w:rsid w:val="003C6A11"/>
    <w:pPr>
      <w:spacing w:before="36" w:after="36" w:line="240" w:lineRule="auto"/>
    </w:pPr>
    <w:rPr>
      <w:rFonts w:asciiTheme="minorHAnsi" w:eastAsiaTheme="minorHAnsi" w:hAnsiTheme="minorHAnsi" w:cstheme="minorBidi"/>
      <w:kern w:val="0"/>
      <w:lang w:eastAsia="en-US"/>
      <w14:ligatures w14:val="none"/>
    </w:rPr>
  </w:style>
  <w:style w:type="table" w:customStyle="1" w:styleId="Table">
    <w:name w:val="Table"/>
    <w:semiHidden/>
    <w:unhideWhenUsed/>
    <w:qFormat/>
    <w:rsid w:val="003C6A11"/>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3C6A11"/>
    <w:pPr>
      <w:spacing w:after="120"/>
    </w:pPr>
  </w:style>
  <w:style w:type="character" w:customStyle="1" w:styleId="BodyTextChar">
    <w:name w:val="Body Text Char"/>
    <w:basedOn w:val="DefaultParagraphFont"/>
    <w:link w:val="BodyText"/>
    <w:uiPriority w:val="99"/>
    <w:semiHidden/>
    <w:rsid w:val="003C6A11"/>
    <w:rPr>
      <w:rFonts w:ascii="Times New Roman" w:hAnsi="Times New Roman" w:cs="Times New Roman"/>
      <w:lang w:val="en-US"/>
    </w:rPr>
  </w:style>
  <w:style w:type="paragraph" w:styleId="FootnoteText">
    <w:name w:val="footnote text"/>
    <w:basedOn w:val="Normal"/>
    <w:link w:val="FootnoteTextChar"/>
    <w:uiPriority w:val="99"/>
    <w:unhideWhenUsed/>
    <w:rsid w:val="00B44C40"/>
    <w:pPr>
      <w:spacing w:after="0" w:line="240" w:lineRule="auto"/>
    </w:pPr>
    <w:rPr>
      <w:sz w:val="20"/>
      <w:szCs w:val="20"/>
    </w:rPr>
  </w:style>
  <w:style w:type="character" w:customStyle="1" w:styleId="FootnoteTextChar">
    <w:name w:val="Footnote Text Char"/>
    <w:basedOn w:val="DefaultParagraphFont"/>
    <w:link w:val="FootnoteText"/>
    <w:uiPriority w:val="99"/>
    <w:rsid w:val="00B44C40"/>
    <w:rPr>
      <w:rFonts w:ascii="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4C40"/>
    <w:rPr>
      <w:vertAlign w:val="superscript"/>
    </w:rPr>
  </w:style>
  <w:style w:type="character" w:styleId="Hyperlink">
    <w:name w:val="Hyperlink"/>
    <w:basedOn w:val="DefaultParagraphFont"/>
    <w:uiPriority w:val="99"/>
    <w:unhideWhenUsed/>
    <w:rsid w:val="00B44C40"/>
    <w:rPr>
      <w:color w:val="0563C1" w:themeColor="hyperlink"/>
      <w:u w:val="single"/>
    </w:rPr>
  </w:style>
  <w:style w:type="character" w:styleId="UnresolvedMention">
    <w:name w:val="Unresolved Mention"/>
    <w:basedOn w:val="DefaultParagraphFont"/>
    <w:uiPriority w:val="99"/>
    <w:semiHidden/>
    <w:unhideWhenUsed/>
    <w:rsid w:val="00B44C40"/>
    <w:rPr>
      <w:color w:val="605E5C"/>
      <w:shd w:val="clear" w:color="auto" w:fill="E1DFDD"/>
    </w:rPr>
  </w:style>
  <w:style w:type="paragraph" w:styleId="TOCHeading">
    <w:name w:val="TOC Heading"/>
    <w:basedOn w:val="Heading1"/>
    <w:next w:val="Normal"/>
    <w:uiPriority w:val="39"/>
    <w:unhideWhenUsed/>
    <w:qFormat/>
    <w:rsid w:val="005E4A1B"/>
    <w:pPr>
      <w:spacing w:before="240" w:after="0" w:line="259" w:lineRule="auto"/>
      <w:outlineLvl w:val="9"/>
    </w:pPr>
    <w:rPr>
      <w:rFonts w:asciiTheme="majorHAnsi" w:hAnsiTheme="majorHAnsi" w:cstheme="majorBidi"/>
      <w:color w:val="2F5496" w:themeColor="accent1" w:themeShade="BF"/>
      <w:kern w:val="0"/>
      <w:sz w:val="32"/>
      <w:szCs w:val="32"/>
      <w:lang w:val="fr-BE"/>
      <w14:ligatures w14:val="none"/>
    </w:rPr>
  </w:style>
  <w:style w:type="paragraph" w:styleId="TOC2">
    <w:name w:val="toc 2"/>
    <w:basedOn w:val="Normal"/>
    <w:next w:val="Normal"/>
    <w:autoRedefine/>
    <w:uiPriority w:val="39"/>
    <w:unhideWhenUsed/>
    <w:rsid w:val="005E4A1B"/>
    <w:pPr>
      <w:spacing w:after="100" w:line="259" w:lineRule="auto"/>
      <w:ind w:left="220"/>
    </w:pPr>
    <w:rPr>
      <w:rFonts w:asciiTheme="minorHAnsi" w:hAnsiTheme="minorHAnsi"/>
      <w:kern w:val="0"/>
      <w:sz w:val="22"/>
      <w:szCs w:val="22"/>
      <w:lang w:val="fr-BE"/>
      <w14:ligatures w14:val="none"/>
    </w:rPr>
  </w:style>
  <w:style w:type="paragraph" w:styleId="TOC1">
    <w:name w:val="toc 1"/>
    <w:basedOn w:val="Normal"/>
    <w:next w:val="Normal"/>
    <w:autoRedefine/>
    <w:uiPriority w:val="39"/>
    <w:unhideWhenUsed/>
    <w:rsid w:val="005E4A1B"/>
    <w:pPr>
      <w:spacing w:after="100" w:line="259" w:lineRule="auto"/>
    </w:pPr>
    <w:rPr>
      <w:rFonts w:asciiTheme="minorHAnsi" w:hAnsiTheme="minorHAnsi"/>
      <w:kern w:val="0"/>
      <w:sz w:val="22"/>
      <w:szCs w:val="22"/>
      <w:lang w:val="fr-BE"/>
      <w14:ligatures w14:val="none"/>
    </w:rPr>
  </w:style>
  <w:style w:type="paragraph" w:styleId="TOC3">
    <w:name w:val="toc 3"/>
    <w:basedOn w:val="Normal"/>
    <w:next w:val="Normal"/>
    <w:autoRedefine/>
    <w:uiPriority w:val="39"/>
    <w:unhideWhenUsed/>
    <w:rsid w:val="005E4A1B"/>
    <w:pPr>
      <w:spacing w:after="100" w:line="259" w:lineRule="auto"/>
      <w:ind w:left="440"/>
    </w:pPr>
    <w:rPr>
      <w:rFonts w:asciiTheme="minorHAnsi" w:hAnsiTheme="minorHAnsi"/>
      <w:kern w:val="0"/>
      <w:sz w:val="22"/>
      <w:szCs w:val="22"/>
      <w:lang w:val="fr-BE"/>
      <w14:ligatures w14:val="none"/>
    </w:rPr>
  </w:style>
  <w:style w:type="paragraph" w:styleId="Header">
    <w:name w:val="header"/>
    <w:basedOn w:val="Normal"/>
    <w:link w:val="HeaderChar"/>
    <w:uiPriority w:val="99"/>
    <w:unhideWhenUsed/>
    <w:rsid w:val="00371514"/>
    <w:pPr>
      <w:tabs>
        <w:tab w:val="center" w:pos="4536"/>
        <w:tab w:val="right" w:pos="9072"/>
      </w:tabs>
      <w:spacing w:after="0" w:line="240" w:lineRule="auto"/>
    </w:pPr>
  </w:style>
  <w:style w:type="character" w:customStyle="1" w:styleId="HeaderChar">
    <w:name w:val="Header Char"/>
    <w:basedOn w:val="DefaultParagraphFont"/>
    <w:link w:val="Header"/>
    <w:uiPriority w:val="99"/>
    <w:rsid w:val="00371514"/>
    <w:rPr>
      <w:rFonts w:ascii="Times New Roman" w:hAnsi="Times New Roman" w:cs="Times New Roman"/>
      <w:lang w:val="en-US"/>
    </w:rPr>
  </w:style>
  <w:style w:type="paragraph" w:styleId="Footer">
    <w:name w:val="footer"/>
    <w:basedOn w:val="Normal"/>
    <w:link w:val="FooterChar"/>
    <w:uiPriority w:val="99"/>
    <w:unhideWhenUsed/>
    <w:rsid w:val="00371514"/>
    <w:pPr>
      <w:tabs>
        <w:tab w:val="center" w:pos="4536"/>
        <w:tab w:val="right" w:pos="9072"/>
      </w:tabs>
      <w:spacing w:after="0" w:line="240" w:lineRule="auto"/>
    </w:pPr>
  </w:style>
  <w:style w:type="character" w:customStyle="1" w:styleId="FooterChar">
    <w:name w:val="Footer Char"/>
    <w:basedOn w:val="DefaultParagraphFont"/>
    <w:link w:val="Footer"/>
    <w:uiPriority w:val="99"/>
    <w:rsid w:val="00371514"/>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51479">
      <w:bodyDiv w:val="1"/>
      <w:marLeft w:val="0"/>
      <w:marRight w:val="0"/>
      <w:marTop w:val="0"/>
      <w:marBottom w:val="0"/>
      <w:divBdr>
        <w:top w:val="none" w:sz="0" w:space="0" w:color="auto"/>
        <w:left w:val="none" w:sz="0" w:space="0" w:color="auto"/>
        <w:bottom w:val="none" w:sz="0" w:space="0" w:color="auto"/>
        <w:right w:val="none" w:sz="0" w:space="0" w:color="auto"/>
      </w:divBdr>
      <w:divsChild>
        <w:div w:id="250700710">
          <w:marLeft w:val="0"/>
          <w:marRight w:val="0"/>
          <w:marTop w:val="0"/>
          <w:marBottom w:val="0"/>
          <w:divBdr>
            <w:top w:val="none" w:sz="0" w:space="0" w:color="auto"/>
            <w:left w:val="none" w:sz="0" w:space="0" w:color="auto"/>
            <w:bottom w:val="none" w:sz="0" w:space="0" w:color="auto"/>
            <w:right w:val="none" w:sz="0" w:space="0" w:color="auto"/>
          </w:divBdr>
        </w:div>
      </w:divsChild>
    </w:div>
    <w:div w:id="133839006">
      <w:bodyDiv w:val="1"/>
      <w:marLeft w:val="0"/>
      <w:marRight w:val="0"/>
      <w:marTop w:val="0"/>
      <w:marBottom w:val="0"/>
      <w:divBdr>
        <w:top w:val="none" w:sz="0" w:space="0" w:color="auto"/>
        <w:left w:val="none" w:sz="0" w:space="0" w:color="auto"/>
        <w:bottom w:val="none" w:sz="0" w:space="0" w:color="auto"/>
        <w:right w:val="none" w:sz="0" w:space="0" w:color="auto"/>
      </w:divBdr>
    </w:div>
    <w:div w:id="221454477">
      <w:bodyDiv w:val="1"/>
      <w:marLeft w:val="0"/>
      <w:marRight w:val="0"/>
      <w:marTop w:val="0"/>
      <w:marBottom w:val="0"/>
      <w:divBdr>
        <w:top w:val="none" w:sz="0" w:space="0" w:color="auto"/>
        <w:left w:val="none" w:sz="0" w:space="0" w:color="auto"/>
        <w:bottom w:val="none" w:sz="0" w:space="0" w:color="auto"/>
        <w:right w:val="none" w:sz="0" w:space="0" w:color="auto"/>
      </w:divBdr>
      <w:divsChild>
        <w:div w:id="1618290694">
          <w:marLeft w:val="0"/>
          <w:marRight w:val="0"/>
          <w:marTop w:val="0"/>
          <w:marBottom w:val="0"/>
          <w:divBdr>
            <w:top w:val="none" w:sz="0" w:space="0" w:color="auto"/>
            <w:left w:val="none" w:sz="0" w:space="0" w:color="auto"/>
            <w:bottom w:val="none" w:sz="0" w:space="0" w:color="auto"/>
            <w:right w:val="none" w:sz="0" w:space="0" w:color="auto"/>
          </w:divBdr>
        </w:div>
      </w:divsChild>
    </w:div>
    <w:div w:id="257757737">
      <w:bodyDiv w:val="1"/>
      <w:marLeft w:val="0"/>
      <w:marRight w:val="0"/>
      <w:marTop w:val="0"/>
      <w:marBottom w:val="0"/>
      <w:divBdr>
        <w:top w:val="none" w:sz="0" w:space="0" w:color="auto"/>
        <w:left w:val="none" w:sz="0" w:space="0" w:color="auto"/>
        <w:bottom w:val="none" w:sz="0" w:space="0" w:color="auto"/>
        <w:right w:val="none" w:sz="0" w:space="0" w:color="auto"/>
      </w:divBdr>
    </w:div>
    <w:div w:id="434985529">
      <w:bodyDiv w:val="1"/>
      <w:marLeft w:val="0"/>
      <w:marRight w:val="0"/>
      <w:marTop w:val="0"/>
      <w:marBottom w:val="0"/>
      <w:divBdr>
        <w:top w:val="none" w:sz="0" w:space="0" w:color="auto"/>
        <w:left w:val="none" w:sz="0" w:space="0" w:color="auto"/>
        <w:bottom w:val="none" w:sz="0" w:space="0" w:color="auto"/>
        <w:right w:val="none" w:sz="0" w:space="0" w:color="auto"/>
      </w:divBdr>
      <w:divsChild>
        <w:div w:id="953295024">
          <w:marLeft w:val="480"/>
          <w:marRight w:val="0"/>
          <w:marTop w:val="0"/>
          <w:marBottom w:val="0"/>
          <w:divBdr>
            <w:top w:val="none" w:sz="0" w:space="0" w:color="auto"/>
            <w:left w:val="none" w:sz="0" w:space="0" w:color="auto"/>
            <w:bottom w:val="none" w:sz="0" w:space="0" w:color="auto"/>
            <w:right w:val="none" w:sz="0" w:space="0" w:color="auto"/>
          </w:divBdr>
          <w:divsChild>
            <w:div w:id="15327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40280">
      <w:bodyDiv w:val="1"/>
      <w:marLeft w:val="0"/>
      <w:marRight w:val="0"/>
      <w:marTop w:val="0"/>
      <w:marBottom w:val="0"/>
      <w:divBdr>
        <w:top w:val="none" w:sz="0" w:space="0" w:color="auto"/>
        <w:left w:val="none" w:sz="0" w:space="0" w:color="auto"/>
        <w:bottom w:val="none" w:sz="0" w:space="0" w:color="auto"/>
        <w:right w:val="none" w:sz="0" w:space="0" w:color="auto"/>
      </w:divBdr>
    </w:div>
    <w:div w:id="558707568">
      <w:bodyDiv w:val="1"/>
      <w:marLeft w:val="0"/>
      <w:marRight w:val="0"/>
      <w:marTop w:val="0"/>
      <w:marBottom w:val="0"/>
      <w:divBdr>
        <w:top w:val="none" w:sz="0" w:space="0" w:color="auto"/>
        <w:left w:val="none" w:sz="0" w:space="0" w:color="auto"/>
        <w:bottom w:val="none" w:sz="0" w:space="0" w:color="auto"/>
        <w:right w:val="none" w:sz="0" w:space="0" w:color="auto"/>
      </w:divBdr>
    </w:div>
    <w:div w:id="563875702">
      <w:bodyDiv w:val="1"/>
      <w:marLeft w:val="0"/>
      <w:marRight w:val="0"/>
      <w:marTop w:val="0"/>
      <w:marBottom w:val="0"/>
      <w:divBdr>
        <w:top w:val="none" w:sz="0" w:space="0" w:color="auto"/>
        <w:left w:val="none" w:sz="0" w:space="0" w:color="auto"/>
        <w:bottom w:val="none" w:sz="0" w:space="0" w:color="auto"/>
        <w:right w:val="none" w:sz="0" w:space="0" w:color="auto"/>
      </w:divBdr>
    </w:div>
    <w:div w:id="599458686">
      <w:bodyDiv w:val="1"/>
      <w:marLeft w:val="0"/>
      <w:marRight w:val="0"/>
      <w:marTop w:val="0"/>
      <w:marBottom w:val="0"/>
      <w:divBdr>
        <w:top w:val="none" w:sz="0" w:space="0" w:color="auto"/>
        <w:left w:val="none" w:sz="0" w:space="0" w:color="auto"/>
        <w:bottom w:val="none" w:sz="0" w:space="0" w:color="auto"/>
        <w:right w:val="none" w:sz="0" w:space="0" w:color="auto"/>
      </w:divBdr>
      <w:divsChild>
        <w:div w:id="1194419405">
          <w:marLeft w:val="480"/>
          <w:marRight w:val="0"/>
          <w:marTop w:val="0"/>
          <w:marBottom w:val="0"/>
          <w:divBdr>
            <w:top w:val="none" w:sz="0" w:space="0" w:color="auto"/>
            <w:left w:val="none" w:sz="0" w:space="0" w:color="auto"/>
            <w:bottom w:val="none" w:sz="0" w:space="0" w:color="auto"/>
            <w:right w:val="none" w:sz="0" w:space="0" w:color="auto"/>
          </w:divBdr>
          <w:divsChild>
            <w:div w:id="16681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5986">
      <w:bodyDiv w:val="1"/>
      <w:marLeft w:val="0"/>
      <w:marRight w:val="0"/>
      <w:marTop w:val="0"/>
      <w:marBottom w:val="0"/>
      <w:divBdr>
        <w:top w:val="none" w:sz="0" w:space="0" w:color="auto"/>
        <w:left w:val="none" w:sz="0" w:space="0" w:color="auto"/>
        <w:bottom w:val="none" w:sz="0" w:space="0" w:color="auto"/>
        <w:right w:val="none" w:sz="0" w:space="0" w:color="auto"/>
      </w:divBdr>
    </w:div>
    <w:div w:id="839541674">
      <w:bodyDiv w:val="1"/>
      <w:marLeft w:val="0"/>
      <w:marRight w:val="0"/>
      <w:marTop w:val="0"/>
      <w:marBottom w:val="0"/>
      <w:divBdr>
        <w:top w:val="none" w:sz="0" w:space="0" w:color="auto"/>
        <w:left w:val="none" w:sz="0" w:space="0" w:color="auto"/>
        <w:bottom w:val="none" w:sz="0" w:space="0" w:color="auto"/>
        <w:right w:val="none" w:sz="0" w:space="0" w:color="auto"/>
      </w:divBdr>
    </w:div>
    <w:div w:id="1285698495">
      <w:bodyDiv w:val="1"/>
      <w:marLeft w:val="0"/>
      <w:marRight w:val="0"/>
      <w:marTop w:val="0"/>
      <w:marBottom w:val="0"/>
      <w:divBdr>
        <w:top w:val="none" w:sz="0" w:space="0" w:color="auto"/>
        <w:left w:val="none" w:sz="0" w:space="0" w:color="auto"/>
        <w:bottom w:val="none" w:sz="0" w:space="0" w:color="auto"/>
        <w:right w:val="none" w:sz="0" w:space="0" w:color="auto"/>
      </w:divBdr>
    </w:div>
    <w:div w:id="1365205183">
      <w:bodyDiv w:val="1"/>
      <w:marLeft w:val="0"/>
      <w:marRight w:val="0"/>
      <w:marTop w:val="0"/>
      <w:marBottom w:val="0"/>
      <w:divBdr>
        <w:top w:val="none" w:sz="0" w:space="0" w:color="auto"/>
        <w:left w:val="none" w:sz="0" w:space="0" w:color="auto"/>
        <w:bottom w:val="none" w:sz="0" w:space="0" w:color="auto"/>
        <w:right w:val="none" w:sz="0" w:space="0" w:color="auto"/>
      </w:divBdr>
    </w:div>
    <w:div w:id="1392313495">
      <w:bodyDiv w:val="1"/>
      <w:marLeft w:val="0"/>
      <w:marRight w:val="0"/>
      <w:marTop w:val="0"/>
      <w:marBottom w:val="0"/>
      <w:divBdr>
        <w:top w:val="none" w:sz="0" w:space="0" w:color="auto"/>
        <w:left w:val="none" w:sz="0" w:space="0" w:color="auto"/>
        <w:bottom w:val="none" w:sz="0" w:space="0" w:color="auto"/>
        <w:right w:val="none" w:sz="0" w:space="0" w:color="auto"/>
      </w:divBdr>
    </w:div>
    <w:div w:id="1414010589">
      <w:bodyDiv w:val="1"/>
      <w:marLeft w:val="0"/>
      <w:marRight w:val="0"/>
      <w:marTop w:val="0"/>
      <w:marBottom w:val="0"/>
      <w:divBdr>
        <w:top w:val="none" w:sz="0" w:space="0" w:color="auto"/>
        <w:left w:val="none" w:sz="0" w:space="0" w:color="auto"/>
        <w:bottom w:val="none" w:sz="0" w:space="0" w:color="auto"/>
        <w:right w:val="none" w:sz="0" w:space="0" w:color="auto"/>
      </w:divBdr>
      <w:divsChild>
        <w:div w:id="261498037">
          <w:marLeft w:val="480"/>
          <w:marRight w:val="0"/>
          <w:marTop w:val="0"/>
          <w:marBottom w:val="0"/>
          <w:divBdr>
            <w:top w:val="none" w:sz="0" w:space="0" w:color="auto"/>
            <w:left w:val="none" w:sz="0" w:space="0" w:color="auto"/>
            <w:bottom w:val="none" w:sz="0" w:space="0" w:color="auto"/>
            <w:right w:val="none" w:sz="0" w:space="0" w:color="auto"/>
          </w:divBdr>
          <w:divsChild>
            <w:div w:id="6364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9460">
      <w:bodyDiv w:val="1"/>
      <w:marLeft w:val="0"/>
      <w:marRight w:val="0"/>
      <w:marTop w:val="0"/>
      <w:marBottom w:val="0"/>
      <w:divBdr>
        <w:top w:val="none" w:sz="0" w:space="0" w:color="auto"/>
        <w:left w:val="none" w:sz="0" w:space="0" w:color="auto"/>
        <w:bottom w:val="none" w:sz="0" w:space="0" w:color="auto"/>
        <w:right w:val="none" w:sz="0" w:space="0" w:color="auto"/>
      </w:divBdr>
    </w:div>
    <w:div w:id="1529682831">
      <w:bodyDiv w:val="1"/>
      <w:marLeft w:val="0"/>
      <w:marRight w:val="0"/>
      <w:marTop w:val="0"/>
      <w:marBottom w:val="0"/>
      <w:divBdr>
        <w:top w:val="none" w:sz="0" w:space="0" w:color="auto"/>
        <w:left w:val="none" w:sz="0" w:space="0" w:color="auto"/>
        <w:bottom w:val="none" w:sz="0" w:space="0" w:color="auto"/>
        <w:right w:val="none" w:sz="0" w:space="0" w:color="auto"/>
      </w:divBdr>
      <w:divsChild>
        <w:div w:id="131530894">
          <w:marLeft w:val="480"/>
          <w:marRight w:val="0"/>
          <w:marTop w:val="0"/>
          <w:marBottom w:val="0"/>
          <w:divBdr>
            <w:top w:val="none" w:sz="0" w:space="0" w:color="auto"/>
            <w:left w:val="none" w:sz="0" w:space="0" w:color="auto"/>
            <w:bottom w:val="none" w:sz="0" w:space="0" w:color="auto"/>
            <w:right w:val="none" w:sz="0" w:space="0" w:color="auto"/>
          </w:divBdr>
          <w:divsChild>
            <w:div w:id="8606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8229">
      <w:bodyDiv w:val="1"/>
      <w:marLeft w:val="0"/>
      <w:marRight w:val="0"/>
      <w:marTop w:val="0"/>
      <w:marBottom w:val="0"/>
      <w:divBdr>
        <w:top w:val="none" w:sz="0" w:space="0" w:color="auto"/>
        <w:left w:val="none" w:sz="0" w:space="0" w:color="auto"/>
        <w:bottom w:val="none" w:sz="0" w:space="0" w:color="auto"/>
        <w:right w:val="none" w:sz="0" w:space="0" w:color="auto"/>
      </w:divBdr>
    </w:div>
    <w:div w:id="1602301750">
      <w:bodyDiv w:val="1"/>
      <w:marLeft w:val="0"/>
      <w:marRight w:val="0"/>
      <w:marTop w:val="0"/>
      <w:marBottom w:val="0"/>
      <w:divBdr>
        <w:top w:val="none" w:sz="0" w:space="0" w:color="auto"/>
        <w:left w:val="none" w:sz="0" w:space="0" w:color="auto"/>
        <w:bottom w:val="none" w:sz="0" w:space="0" w:color="auto"/>
        <w:right w:val="none" w:sz="0" w:space="0" w:color="auto"/>
      </w:divBdr>
    </w:div>
    <w:div w:id="197285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wber/6.3.353" TargetMode="External"/><Relationship Id="rId18" Type="http://schemas.openxmlformats.org/officeDocument/2006/relationships/hyperlink" Target="https://doi.org/10.1016/j.jeconbus.2005.05.004" TargetMode="External"/><Relationship Id="rId26" Type="http://schemas.openxmlformats.org/officeDocument/2006/relationships/hyperlink" Target="https://doi.org/10.1111/j.1467-923X.1943.tb01016.x" TargetMode="External"/><Relationship Id="rId3" Type="http://schemas.openxmlformats.org/officeDocument/2006/relationships/styles" Target="styles.xml"/><Relationship Id="rId21" Type="http://schemas.openxmlformats.org/officeDocument/2006/relationships/hyperlink" Target="https://doi.org/10.2307/199275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2307/2111330" TargetMode="External"/><Relationship Id="rId17" Type="http://schemas.openxmlformats.org/officeDocument/2006/relationships/hyperlink" Target="https://doi.org/10.2307/1061102" TargetMode="External"/><Relationship Id="rId25" Type="http://schemas.openxmlformats.org/officeDocument/2006/relationships/hyperlink" Target="https://doi.org/10.1016/j.qref.2020.10.00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13504851.2012.745925" TargetMode="External"/><Relationship Id="rId20" Type="http://schemas.openxmlformats.org/officeDocument/2006/relationships/hyperlink" Target="https://doi.org/10.2307/2111152" TargetMode="External"/><Relationship Id="rId29" Type="http://schemas.openxmlformats.org/officeDocument/2006/relationships/hyperlink" Target="https://doi.org/10.1257/0895330047735634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538-4616.2009.00260.x" TargetMode="External"/><Relationship Id="rId24" Type="http://schemas.openxmlformats.org/officeDocument/2006/relationships/hyperlink" Target="https://doi.org/10.1080/13504851.2014.920473"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93/jleo/18.2.488" TargetMode="External"/><Relationship Id="rId23" Type="http://schemas.openxmlformats.org/officeDocument/2006/relationships/hyperlink" Target="https://doi.org/10.1007/BF01789559" TargetMode="External"/><Relationship Id="rId28" Type="http://schemas.openxmlformats.org/officeDocument/2006/relationships/hyperlink" Target="https://doi.org/10.2307/2296528" TargetMode="External"/><Relationship Id="rId10" Type="http://schemas.openxmlformats.org/officeDocument/2006/relationships/hyperlink" Target="https://doi.org/10.2307/1992322" TargetMode="External"/><Relationship Id="rId19" Type="http://schemas.openxmlformats.org/officeDocument/2006/relationships/hyperlink" Target="https://doi.org/10.2307/1059330" TargetMode="External"/><Relationship Id="rId31" Type="http://schemas.openxmlformats.org/officeDocument/2006/relationships/hyperlink" Target="https://doi.org/10.1257/mac.4.2.33" TargetMode="External"/><Relationship Id="rId4" Type="http://schemas.openxmlformats.org/officeDocument/2006/relationships/settings" Target="settings.xml"/><Relationship Id="rId9" Type="http://schemas.openxmlformats.org/officeDocument/2006/relationships/hyperlink" Target="https://doi.org/10.2307/1884222" TargetMode="External"/><Relationship Id="rId14" Type="http://schemas.openxmlformats.org/officeDocument/2006/relationships/hyperlink" Target="https://doi.org/10.4324/9781315694030" TargetMode="External"/><Relationship Id="rId22" Type="http://schemas.openxmlformats.org/officeDocument/2006/relationships/hyperlink" Target="https://doi.org/10.1016/0176-2680(94)90064-7" TargetMode="External"/><Relationship Id="rId27" Type="http://schemas.openxmlformats.org/officeDocument/2006/relationships/hyperlink" Target="https://doi.org/10.1007/s10368-012-0213-8" TargetMode="External"/><Relationship Id="rId30" Type="http://schemas.openxmlformats.org/officeDocument/2006/relationships/hyperlink" Target="https://doi.org/10.1016/0304-3932(93)90006-2" TargetMode="External"/><Relationship Id="rId8" Type="http://schemas.openxmlformats.org/officeDocument/2006/relationships/hyperlink" Target="https://doi.org/10.1257/jep.20.4.17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D09B9-054C-4AAB-8B01-F80710922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28</Pages>
  <Words>11428</Words>
  <Characters>62856</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Lokotar</dc:creator>
  <cp:keywords/>
  <dc:description/>
  <cp:lastModifiedBy>Timothy</cp:lastModifiedBy>
  <cp:revision>387</cp:revision>
  <dcterms:created xsi:type="dcterms:W3CDTF">2025-04-29T00:59:00Z</dcterms:created>
  <dcterms:modified xsi:type="dcterms:W3CDTF">2025-11-18T17:47:00Z</dcterms:modified>
</cp:coreProperties>
</file>