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Informe anual 2015 sobre indicadores de compromisos y medidas correctoras de la Carta de Servicios del Archivo General de la Región de Murcia</w:t>
      </w:r>
    </w:p>
    <w:p>
      <w:pPr>
        <w:pStyle w:val="Normal"/>
        <w:jc w:val="center"/>
        <w:rPr/>
      </w:pPr>
      <w:r>
        <w:rPr/>
        <w:t xml:space="preserve">Expediente: </w:t>
      </w:r>
      <w:bookmarkStart w:id="0" w:name="__DdeLink__1562_1888039398"/>
      <w:bookmarkEnd w:id="0"/>
      <w:r>
        <w:rPr/>
        <w:t xml:space="preserve">2011-003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Entidad:</w:t>
      </w:r>
    </w:p>
    <w:p>
      <w:pPr>
        <w:pStyle w:val="Normal"/>
        <w:rPr/>
      </w:pPr>
      <w:r>
        <w:rPr/>
        <w:t/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COMUNIDAD AUTONOMA DE MURCIA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DIRECCION GENERAL FUNCION PUBLICA Y CALIDAD DE LOS SERVIC.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CONSEJERIA HACIENDA Y ADMINISTRACIÓN PUBLICA</w:t>
      </w:r>
    </w:p>
    <w:p>
      <w:pPr>
        <w:pStyle w:val="Normal"/>
        <w:rPr/>
      </w:pPr>
      <w:r>
        <w:rPr/>
        <w:t xml:space="preserve">http://www.carm.es/web/pagina?IDCONTENIDO=36437&amp;IDTIPO=11&amp;RASTRO=c672$m26661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1417" w:top="1985" w:footer="1417" w:bottom="1956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Informe anual de evaluación de la Carta de Servicios: Basado en los datos de evaluación de la Carta de Servicios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572"/>
      </w:tblGrid>
      <w:tr>
        <w:trPr>
          <w:cantSplit w:val="false"/>
        </w:trPr>
        <w:tc>
          <w:tcPr>
            <w:tcW w:w="14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7.  Obtención en las encuestas sobre las actividades culturales de una media de satisfacción del usuario de 3,6 sobre 4</w:t>
            </w:r>
            <w:r>
              <w:rPr>
                <w:b/>
                <w:bCs/>
                <w:sz w:val="16"/>
                <w:szCs w:val="16"/>
              </w:rPr>
              <w:t/>
            </w:r>
            <w:r>
              <w:rPr>
                <w:b/>
                <w:bCs/>
                <w:sz w:val="16"/>
                <w:szCs w:val="16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145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i w:val="false"/>
                <w:iCs w:val="false"/>
                <w:sz w:val="16"/>
                <w:szCs w:val="16"/>
              </w:rPr>
            </w:pPr>
            <w:r>
              <w:rPr>
                <w:b/>
                <w:bCs/>
                <w:i w:val="false"/>
                <w:iCs w:val="false"/>
                <w:sz w:val="16"/>
                <w:szCs w:val="16"/>
              </w:rPr>
              <w:t xml:space="preserve">Media anual de la satisfacción del usuario de actividades culturales en las encuestas &gt; = 3,6 sobre 4</w:t>
            </w:r>
          </w:p>
        </w:tc>
      </w:tr>
    </w:tbl>
    <w:p>
      <w:pPr>
        <w:pStyle w:val="Cuerpodetexto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6448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cantSplit w:val="false"/>
        </w:trPr>
        <w:tc>
          <w:tcPr>
            <w:tcW w:w="6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2015</w:t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Media anual de la satisfacción del usuario de actividades culturales en las encuestas</w:t>
            </w:r>
            <w:r>
              <w:rPr>
                <w:i/>
                <w:iCs/>
                <w:sz w:val="16"/>
                <w:szCs w:val="16"/>
              </w:rPr>
              <w:t/>
            </w:r>
            <w:r>
              <w:rPr>
                <w:i/>
                <w:iCs/>
                <w:sz w:val="16"/>
                <w:szCs w:val="16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3.65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3.79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3.86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3.87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3.30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3.89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3.97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3.97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3.98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3.84</w:t>
            </w:r>
            <w:r>
              <w:rPr>
                <w:sz w:val="14"/>
                <w:szCs w:val="14"/>
                <w:u w:val="none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Cálculos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3.65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3.79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3.86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3.87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3.30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3.89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3.97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3.97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3.98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3.84 </w:t>
            </w:r>
            <w:r>
              <w:rPr>
                <w:sz w:val="14"/>
                <w:szCs w:val="14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572"/>
      </w:tblGrid>
      <w:tr>
        <w:trPr>
          <w:cantSplit w:val="false"/>
        </w:trPr>
        <w:tc>
          <w:tcPr>
            <w:tcW w:w="14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6.  Obtención en las encuestas sobre el uso de la sala de investigación de una media de satisfacción del usuario de 3,6 sobre 4</w:t>
            </w:r>
            <w:r>
              <w:rPr>
                <w:b/>
                <w:bCs/>
                <w:sz w:val="16"/>
                <w:szCs w:val="16"/>
              </w:rPr>
              <w:t/>
            </w:r>
            <w:r>
              <w:rPr>
                <w:b/>
                <w:bCs/>
                <w:sz w:val="16"/>
                <w:szCs w:val="16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145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i w:val="false"/>
                <w:iCs w:val="false"/>
                <w:sz w:val="16"/>
                <w:szCs w:val="16"/>
              </w:rPr>
            </w:pPr>
            <w:r>
              <w:rPr>
                <w:b/>
                <w:bCs/>
                <w:i w:val="false"/>
                <w:iCs w:val="false"/>
                <w:sz w:val="16"/>
                <w:szCs w:val="16"/>
              </w:rPr>
              <w:t xml:space="preserve">Media anual de la satisfacción del usuario de sala de investigación en las encuestas &gt; = 3,6 sobre 4</w:t>
            </w:r>
          </w:p>
        </w:tc>
      </w:tr>
    </w:tbl>
    <w:p>
      <w:pPr>
        <w:pStyle w:val="Cuerpodetexto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6448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cantSplit w:val="false"/>
        </w:trPr>
        <w:tc>
          <w:tcPr>
            <w:tcW w:w="6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2015</w:t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Media anual de la satisfacción del usuario de sala de investigación en las encuestas</w:t>
            </w:r>
            <w:r>
              <w:rPr>
                <w:i/>
                <w:iCs/>
                <w:sz w:val="16"/>
                <w:szCs w:val="16"/>
              </w:rPr>
              <w:t/>
            </w:r>
            <w:r>
              <w:rPr>
                <w:i/>
                <w:iCs/>
                <w:sz w:val="16"/>
                <w:szCs w:val="16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3.81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2.78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3.88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3.55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3.93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3.71</w:t>
            </w:r>
            <w:r>
              <w:rPr>
                <w:sz w:val="14"/>
                <w:szCs w:val="14"/>
                <w:u w:val="none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Cálculos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3.81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2.78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3.88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3.55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3.93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3.71 </w:t>
            </w:r>
            <w:r>
              <w:rPr>
                <w:sz w:val="14"/>
                <w:szCs w:val="14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572"/>
      </w:tblGrid>
      <w:tr>
        <w:trPr>
          <w:cantSplit w:val="false"/>
        </w:trPr>
        <w:tc>
          <w:tcPr>
            <w:tcW w:w="14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1.  Incorporación anual de 20 000 registros al catálogo en línea del Archivo General</w:t>
            </w:r>
            <w:r>
              <w:rPr>
                <w:b/>
                <w:bCs/>
                <w:sz w:val="16"/>
                <w:szCs w:val="16"/>
              </w:rPr>
              <w:t/>
            </w:r>
            <w:r>
              <w:rPr>
                <w:b/>
                <w:bCs/>
                <w:sz w:val="16"/>
                <w:szCs w:val="16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145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i w:val="false"/>
                <w:iCs w:val="false"/>
                <w:sz w:val="16"/>
                <w:szCs w:val="16"/>
              </w:rPr>
            </w:pPr>
            <w:r>
              <w:rPr>
                <w:b/>
                <w:bCs/>
                <w:i w:val="false"/>
                <w:iCs w:val="false"/>
                <w:sz w:val="16"/>
                <w:szCs w:val="16"/>
              </w:rPr>
              <w:t xml:space="preserve">Nº de registros incorporados anualmente al catálogo en línea &gt;= 20000</w:t>
            </w:r>
          </w:p>
        </w:tc>
      </w:tr>
    </w:tbl>
    <w:p>
      <w:pPr>
        <w:pStyle w:val="Cuerpodetexto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6448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cantSplit w:val="false"/>
        </w:trPr>
        <w:tc>
          <w:tcPr>
            <w:tcW w:w="6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2015</w:t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Nº de registros incorporados anualmente al catálogo en línea</w:t>
            </w:r>
            <w:r>
              <w:rPr>
                <w:i/>
                <w:iCs/>
                <w:sz w:val="16"/>
                <w:szCs w:val="16"/>
              </w:rPr>
              <w:t/>
            </w:r>
            <w:r>
              <w:rPr>
                <w:i/>
                <w:iCs/>
                <w:sz w:val="16"/>
                <w:szCs w:val="16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6726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3675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5324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3617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12126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3157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8579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1911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6336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6144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1806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9369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68770</w:t>
            </w:r>
            <w:r>
              <w:rPr>
                <w:sz w:val="14"/>
                <w:szCs w:val="14"/>
                <w:u w:val="none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Cálculos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6726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3675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5324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3617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12126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3157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8579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1911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6336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6144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1806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9369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68770 </w:t>
            </w:r>
            <w:r>
              <w:rPr>
                <w:sz w:val="14"/>
                <w:szCs w:val="14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572"/>
      </w:tblGrid>
      <w:tr>
        <w:trPr>
          <w:cantSplit w:val="false"/>
        </w:trPr>
        <w:tc>
          <w:tcPr>
            <w:tcW w:w="14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2.  Respuesta al 100% de las consultas de los usuarios, en el plazo máximo de 15 días desde su recepción en el Archivo</w:t>
            </w:r>
            <w:r>
              <w:rPr>
                <w:b/>
                <w:bCs/>
                <w:sz w:val="16"/>
                <w:szCs w:val="16"/>
              </w:rPr>
              <w:t/>
            </w:r>
            <w:r>
              <w:rPr>
                <w:b/>
                <w:bCs/>
                <w:sz w:val="16"/>
                <w:szCs w:val="16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145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i w:val="false"/>
                <w:iCs w:val="false"/>
                <w:sz w:val="16"/>
                <w:szCs w:val="16"/>
              </w:rPr>
            </w:pPr>
            <w:r>
              <w:rPr>
                <w:b/>
                <w:bCs/>
                <w:i w:val="false"/>
                <w:iCs w:val="false"/>
                <w:sz w:val="16"/>
                <w:szCs w:val="16"/>
              </w:rPr>
              <w:t xml:space="preserve">(Nº de respuestas mensuales a las consultas realizadas en el plazo comprometido/ Nº total de respuestas mensuales realizadas) x 100 = 100</w:t>
            </w:r>
          </w:p>
        </w:tc>
      </w:tr>
    </w:tbl>
    <w:p>
      <w:pPr>
        <w:pStyle w:val="Cuerpodetexto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6448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cantSplit w:val="false"/>
        </w:trPr>
        <w:tc>
          <w:tcPr>
            <w:tcW w:w="6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2015</w:t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Nº de respuestas mensuales a las consultas realizadas en el plazo comprometido</w:t>
            </w:r>
            <w:r>
              <w:rPr>
                <w:i/>
                <w:iCs/>
                <w:sz w:val="16"/>
                <w:szCs w:val="16"/>
              </w:rPr>
              <w:t/>
            </w:r>
            <w:r>
              <w:rPr>
                <w:i/>
                <w:iCs/>
                <w:sz w:val="16"/>
                <w:szCs w:val="16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29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38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51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33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52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544</w:t>
            </w:r>
            <w:r>
              <w:rPr>
                <w:sz w:val="14"/>
                <w:szCs w:val="14"/>
                <w:u w:val="none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Nº total de respuestas mensuales realizadas</w:t>
            </w:r>
            <w:r>
              <w:rPr>
                <w:i/>
                <w:iCs/>
                <w:sz w:val="16"/>
                <w:szCs w:val="16"/>
              </w:rPr>
              <w:t/>
            </w:r>
            <w:r>
              <w:rPr>
                <w:i/>
                <w:iCs/>
                <w:sz w:val="16"/>
                <w:szCs w:val="16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29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39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52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34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52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548</w:t>
            </w:r>
            <w:r>
              <w:rPr>
                <w:sz w:val="14"/>
                <w:szCs w:val="14"/>
                <w:u w:val="none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Cálculos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97.44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98.08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97.06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98.36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99.27 </w:t>
            </w:r>
            <w:r>
              <w:rPr>
                <w:sz w:val="14"/>
                <w:szCs w:val="14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572"/>
      </w:tblGrid>
      <w:tr>
        <w:trPr>
          <w:cantSplit w:val="false"/>
        </w:trPr>
        <w:tc>
          <w:tcPr>
            <w:tcW w:w="14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3.  Entrega al usuario en la sala de investigación del 100% de los documentos solicitados en el plazo máximo de 20 minutos</w:t>
            </w:r>
            <w:r>
              <w:rPr>
                <w:b/>
                <w:bCs/>
                <w:sz w:val="16"/>
                <w:szCs w:val="16"/>
              </w:rPr>
              <w:t/>
            </w:r>
            <w:r>
              <w:rPr>
                <w:b/>
                <w:bCs/>
                <w:sz w:val="16"/>
                <w:szCs w:val="16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145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i w:val="false"/>
                <w:iCs w:val="false"/>
                <w:sz w:val="16"/>
                <w:szCs w:val="16"/>
              </w:rPr>
            </w:pPr>
            <w:r>
              <w:rPr>
                <w:b/>
                <w:bCs/>
                <w:i w:val="false"/>
                <w:iCs w:val="false"/>
                <w:sz w:val="16"/>
                <w:szCs w:val="16"/>
              </w:rPr>
              <w:t xml:space="preserve">(Nº de solicitudes mensuales de documentos entregados a consulta en el plazo comprometido inferior o igual a 20 minutos/ Nº mensual de solicitudes de documentos) x 100 = 100</w:t>
            </w:r>
          </w:p>
        </w:tc>
      </w:tr>
    </w:tbl>
    <w:p>
      <w:pPr>
        <w:pStyle w:val="Cuerpodetexto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6448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cantSplit w:val="false"/>
        </w:trPr>
        <w:tc>
          <w:tcPr>
            <w:tcW w:w="6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2015</w:t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Nº de solicitudes mensuales de documentos entregados a consulta en el plazo comprometido inferior o igual a 20 minutos</w:t>
            </w:r>
            <w:r>
              <w:rPr>
                <w:i/>
                <w:iCs/>
                <w:sz w:val="16"/>
                <w:szCs w:val="16"/>
              </w:rPr>
              <w:t/>
            </w:r>
            <w:r>
              <w:rPr>
                <w:i/>
                <w:iCs/>
                <w:sz w:val="16"/>
                <w:szCs w:val="16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215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344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442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325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334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365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205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226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433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368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530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358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4145</w:t>
            </w:r>
            <w:r>
              <w:rPr>
                <w:sz w:val="14"/>
                <w:szCs w:val="14"/>
                <w:u w:val="none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Nº mensual de solicitudes de documentos</w:t>
            </w:r>
            <w:r>
              <w:rPr>
                <w:i/>
                <w:iCs/>
                <w:sz w:val="16"/>
                <w:szCs w:val="16"/>
              </w:rPr>
              <w:t/>
            </w:r>
            <w:r>
              <w:rPr>
                <w:i/>
                <w:iCs/>
                <w:sz w:val="16"/>
                <w:szCs w:val="16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231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359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449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343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345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390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206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238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447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412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538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367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4325</w:t>
            </w:r>
            <w:r>
              <w:rPr>
                <w:sz w:val="14"/>
                <w:szCs w:val="14"/>
                <w:u w:val="none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Cálculos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93.07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95.82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98.44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94.75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96.81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93.59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99.51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94.96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96.87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89.32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98.51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97.55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95.84 </w:t>
            </w:r>
            <w:r>
              <w:rPr>
                <w:sz w:val="14"/>
                <w:szCs w:val="14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572"/>
      </w:tblGrid>
      <w:tr>
        <w:trPr>
          <w:cantSplit w:val="false"/>
        </w:trPr>
        <w:tc>
          <w:tcPr>
            <w:tcW w:w="14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4.  Entrega del 100% de las reproducciones de documentos en el plazo máximo de 30 días, si la petición no supera las 100 imágenes</w:t>
            </w:r>
            <w:r>
              <w:rPr>
                <w:b/>
                <w:bCs/>
                <w:sz w:val="16"/>
                <w:szCs w:val="16"/>
              </w:rPr>
              <w:t/>
            </w:r>
            <w:r>
              <w:rPr>
                <w:b/>
                <w:bCs/>
                <w:sz w:val="16"/>
                <w:szCs w:val="16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145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i w:val="false"/>
                <w:iCs w:val="false"/>
                <w:sz w:val="16"/>
                <w:szCs w:val="16"/>
              </w:rPr>
            </w:pPr>
            <w:r>
              <w:rPr>
                <w:b/>
                <w:bCs/>
                <w:i w:val="false"/>
                <w:iCs w:val="false"/>
                <w:sz w:val="16"/>
                <w:szCs w:val="16"/>
              </w:rPr>
              <w:t xml:space="preserve">(Nº de solicitudes mensuales de reproducciones documentos entregados en el plazo igual o inferior a 30 días/ Nº mensual de solicitudes de reproducciones de documentos) x 100 = 100.</w:t>
            </w:r>
          </w:p>
        </w:tc>
      </w:tr>
    </w:tbl>
    <w:p>
      <w:pPr>
        <w:pStyle w:val="Cuerpodetexto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6448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cantSplit w:val="false"/>
        </w:trPr>
        <w:tc>
          <w:tcPr>
            <w:tcW w:w="6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2015</w:t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Nº de solicitudes mensuales de reproducciones documentos entregados en el plazo igual o inferior a 30 días</w:t>
            </w:r>
            <w:r>
              <w:rPr>
                <w:i/>
                <w:iCs/>
                <w:sz w:val="16"/>
                <w:szCs w:val="16"/>
              </w:rPr>
              <w:t/>
            </w:r>
            <w:r>
              <w:rPr>
                <w:i/>
                <w:iCs/>
                <w:sz w:val="16"/>
                <w:szCs w:val="16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76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116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13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56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38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29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55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661</w:t>
            </w:r>
            <w:r>
              <w:rPr>
                <w:sz w:val="14"/>
                <w:szCs w:val="14"/>
                <w:u w:val="none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Nº mensual de solicitudes de reproducciones de documentos</w:t>
            </w:r>
            <w:r>
              <w:rPr>
                <w:i/>
                <w:iCs/>
                <w:sz w:val="16"/>
                <w:szCs w:val="16"/>
              </w:rPr>
              <w:t/>
            </w:r>
            <w:r>
              <w:rPr>
                <w:i/>
                <w:iCs/>
                <w:sz w:val="16"/>
                <w:szCs w:val="16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77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117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13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56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38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68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29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108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41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56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666</w:t>
            </w:r>
            <w:r>
              <w:rPr>
                <w:sz w:val="14"/>
                <w:szCs w:val="14"/>
                <w:u w:val="none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Cálculos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98.70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99.15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98.53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99.07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98.21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99.25 </w:t>
            </w:r>
            <w:r>
              <w:rPr>
                <w:sz w:val="14"/>
                <w:szCs w:val="14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572"/>
      </w:tblGrid>
      <w:tr>
        <w:trPr>
          <w:cantSplit w:val="false"/>
        </w:trPr>
        <w:tc>
          <w:tcPr>
            <w:tcW w:w="14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5.  Entrega del 100% de las copias auténticas o certificaciones de documentos conservados en el Archivo en el plazo de 15 días</w:t>
            </w:r>
            <w:r>
              <w:rPr>
                <w:b/>
                <w:bCs/>
                <w:sz w:val="16"/>
                <w:szCs w:val="16"/>
              </w:rPr>
              <w:t/>
            </w:r>
            <w:r>
              <w:rPr>
                <w:b/>
                <w:bCs/>
                <w:sz w:val="16"/>
                <w:szCs w:val="16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145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i w:val="false"/>
                <w:iCs w:val="false"/>
                <w:sz w:val="16"/>
                <w:szCs w:val="16"/>
              </w:rPr>
            </w:pPr>
            <w:r>
              <w:rPr>
                <w:b/>
                <w:bCs/>
                <w:i w:val="false"/>
                <w:iCs w:val="false"/>
                <w:sz w:val="16"/>
                <w:szCs w:val="16"/>
              </w:rPr>
              <w:t xml:space="preserve">(Nº de solicitudes mensuales de copias autenticas o certificaciones entregadas en el plazo comprometido inferior o igual 15 días/ Nº mensual de solicitudes de copias autenticas o certificaciones entregadas) x 100 = 100</w:t>
            </w:r>
          </w:p>
        </w:tc>
      </w:tr>
    </w:tbl>
    <w:p>
      <w:pPr>
        <w:pStyle w:val="Cuerpodetexto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6448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cantSplit w:val="false"/>
        </w:trPr>
        <w:tc>
          <w:tcPr>
            <w:tcW w:w="6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2015</w:t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Nº de solicitudes mensuales de copias autenticas o certificaciones entregadas en el plazo comprometido inferior o igual 15 días</w:t>
            </w:r>
            <w:r>
              <w:rPr>
                <w:i/>
                <w:iCs/>
                <w:sz w:val="16"/>
                <w:szCs w:val="16"/>
              </w:rPr>
              <w:t/>
            </w:r>
            <w:r>
              <w:rPr>
                <w:i/>
                <w:iCs/>
                <w:sz w:val="16"/>
                <w:szCs w:val="16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22</w:t>
            </w:r>
            <w:r>
              <w:rPr>
                <w:sz w:val="14"/>
                <w:szCs w:val="14"/>
                <w:u w:val="none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Nº mensual de solicitudes de copias autenticas o certificaciones entregadas</w:t>
            </w:r>
            <w:r>
              <w:rPr>
                <w:i/>
                <w:iCs/>
                <w:sz w:val="16"/>
                <w:szCs w:val="16"/>
              </w:rPr>
              <w:t/>
            </w:r>
            <w:r>
              <w:rPr>
                <w:i/>
                <w:iCs/>
                <w:sz w:val="16"/>
                <w:szCs w:val="16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22</w:t>
            </w:r>
            <w:r>
              <w:rPr>
                <w:sz w:val="14"/>
                <w:szCs w:val="14"/>
                <w:u w:val="none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  <w:tr>
        <w:trPr>
          <w:cantSplit w:val="false"/>
        </w:trPr>
        <w:tc>
          <w:tcPr>
            <w:tcW w:w="64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Cálculos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/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</w:t>
            </w:r>
          </w:p>
        </w:tc>
        <w:tc>
          <w:tcPr>
            <w:tcW w:w="6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100 </w:t>
            </w:r>
            <w:r>
              <w:rPr>
                <w:sz w:val="14"/>
                <w:szCs w:val="14"/>
              </w:rPr>
              <w:t/>
            </w:r>
            <w:r>
              <w:rPr>
                <w:sz w:val="14"/>
                <w:szCs w:val="1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Resumen: Acciones correspondientes al Plan de Mejora de la Cartas de Servicios código 2011-003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ACCIÓN 1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AÑO+ 001 DESCRIPCIÓN, (QUIEN PROMUEVE) (QUIEN ES EL RESPONSABLE) (A QUE AFECTA) (CUAL ES EL ALCANCE DE ACURDO CON LA ESTRUCTURA) (CUALES SON LOS REQUISITOS) (CUAL ES EL PLAZO)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ACCIÓN 2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AÑO+ 002 DESCRIPCCIÓN (QUIEN PROMUEVE) (QUIEN ES EL RESPONSABLE) (A QUE AFECTA) (CUAL ES EL ALCANCE DE ACURDO CON LA ESTRUCTURA) (CUALES SON LOS REQUISITOS) (CUAL ES EL PLAZO)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…</w:t>
      </w:r>
      <w:r>
        <w:rPr>
          <w:rFonts w:cs="Arial" w:ascii="Arial" w:hAnsi="Arial"/>
          <w:sz w:val="19"/>
          <w:szCs w:val="19"/>
        </w:rPr>
        <w:t>.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ACCIÓN X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XXX DESCRIPCCIÓN (QUIEN PROMUEVE) (QUIEN ES EL RESPONSABLE) (A QUE AFECTA) (CUAL ES EL ALCANCE DE ACURDO CON LA ESTRUCTURA) (CUALES SON LOS REQUISITOS) (CUAL ES EL PLAZO)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cs="Arial" w:ascii="Arial" w:hAnsi="Arial"/>
          <w:i/>
          <w:iCs/>
          <w:sz w:val="19"/>
          <w:szCs w:val="19"/>
        </w:rPr>
      </w:pPr>
      <w:r>
        <w:rPr>
          <w:rFonts w:cs="Arial" w:ascii="Arial" w:hAnsi="Arial"/>
          <w:i/>
          <w:iCs/>
          <w:sz w:val="19"/>
          <w:szCs w:val="19"/>
        </w:rPr>
        <w:t xml:space="preserve"> </w:t>
      </w:r>
      <w:r>
        <w:rPr>
          <w:rFonts w:cs="Arial" w:ascii="Arial" w:hAnsi="Arial"/>
          <w:i/>
          <w:iCs/>
          <w:sz w:val="19"/>
          <w:szCs w:val="19"/>
        </w:rPr>
        <w:t>AL FINAL APARECERÁ LA FECHA LA FIRMA DEL RESPONSABLE DE LA CARTA DE SERVICIOS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jc w:val="center"/>
        <w:rPr>
          <w:b/>
          <w:bCs/>
        </w:rPr>
      </w:pPr>
      <w:r>
        <w:rPr>
          <w:b/>
          <w:bCs/>
        </w:rPr>
        <w:t>ANEXO DETALLADO DE LAS ACCIONES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1.- ACCIONES PROGRAMADAS: (EN UN PLAN DE MEJORA DE LAS CARTAS DE SERVICIO) CORRESPONDE AL PLAN DE MEJORA DE LA CARTA CÓDIGO 2011-003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AÑO+ 001 DESCRIPCCIÓN, (QUIEN PROMUEVE) (QUIEN ES EL RESPONSABLE) (A QUE AFECTA) (CUAL ES EL ALCANCE DE ACURDO CON LA ESTRUCTURA) (CUALES SON LOS REQUISITOS) (CUAL ES EL PLAZO)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Descripción del Plan de Mejora en el que se enmarca la acción </w:t>
      </w:r>
    </w:p>
    <w:p>
      <w:pPr>
        <w:pStyle w:val="Normal"/>
        <w:rPr/>
      </w:pPr>
      <w:r>
        <w:rPr/>
        <w:t>Número (Proyecto)</w:t>
      </w:r>
    </w:p>
    <w:p>
      <w:pPr>
        <w:pStyle w:val="Normal"/>
        <w:rPr/>
      </w:pPr>
      <w:r>
        <w:rPr/>
        <w:t xml:space="preserve">Descripción de la acción </w:t>
      </w:r>
    </w:p>
    <w:p>
      <w:pPr>
        <w:pStyle w:val="Normal"/>
        <w:rPr>
          <w:b/>
          <w:bCs/>
        </w:rPr>
      </w:pPr>
      <w:r>
        <w:rPr>
          <w:b/>
          <w:bCs/>
        </w:rPr>
        <w:t>Personal relacionado</w:t>
      </w:r>
    </w:p>
    <w:p>
      <w:pPr>
        <w:pStyle w:val="Normal"/>
        <w:ind w:left="708" w:right="0" w:hanging="0"/>
        <w:rPr/>
      </w:pPr>
      <w:r>
        <w:rPr/>
        <w:t>Promotor. La más alta autoridad responsable del tema que tiene interés y apoya la acción; puede ser considerada como el usuario final [PUESTO DE LA ORGANICA]</w:t>
      </w:r>
    </w:p>
    <w:p>
      <w:pPr>
        <w:pStyle w:val="Normal"/>
        <w:ind w:left="0" w:right="0" w:firstLine="708"/>
        <w:rPr/>
      </w:pPr>
      <w:r>
        <w:rPr/>
        <w:t xml:space="preserve">Responsable de la acción. La persona o unidad encargada de la acción  [PUESTO DE LA ORGANICA]. </w:t>
      </w:r>
    </w:p>
    <w:p>
      <w:pPr>
        <w:pStyle w:val="Normal"/>
        <w:ind w:left="708" w:right="0" w:hanging="0"/>
        <w:rPr/>
      </w:pPr>
      <w:r>
        <w:rPr/>
        <w:t xml:space="preserve">Equipo de la acción. Personas designadas para trabajar en la implantación de la acción; pueden pertenecer o no a la organización </w:t>
      </w:r>
    </w:p>
    <w:p>
      <w:pPr>
        <w:pStyle w:val="Normal"/>
        <w:ind w:left="708" w:right="0" w:firstLine="708"/>
        <w:rPr/>
      </w:pPr>
      <w:r>
        <w:rPr/>
        <w:t xml:space="preserve">[PUESTO DE LA ORGANICA] Teléfono de contacto  e-mail </w:t>
      </w:r>
    </w:p>
    <w:p>
      <w:pPr>
        <w:pStyle w:val="Normal"/>
        <w:ind w:left="708" w:right="0" w:firstLine="708"/>
        <w:rPr/>
      </w:pPr>
      <w:r>
        <w:rPr/>
        <w:t xml:space="preserve">[PUESTO DE LA ORGANICA] Teléfono de contacto  e-mail </w:t>
      </w:r>
    </w:p>
    <w:p>
      <w:pPr>
        <w:pStyle w:val="Normal"/>
        <w:ind w:left="708" w:right="0" w:firstLine="708"/>
        <w:rPr/>
      </w:pPr>
      <w:r>
        <w:rPr/>
        <w:t>…</w:t>
      </w:r>
    </w:p>
    <w:p>
      <w:pPr>
        <w:pStyle w:val="Normal"/>
        <w:rPr>
          <w:b/>
          <w:bCs/>
        </w:rPr>
      </w:pPr>
      <w:r>
        <w:rPr>
          <w:b/>
          <w:bCs/>
        </w:rPr>
        <w:t>Afecta a</w:t>
      </w:r>
    </w:p>
    <w:p>
      <w:pPr>
        <w:pStyle w:val="Normal"/>
        <w:ind w:left="0" w:right="0" w:firstLine="708"/>
        <w:rPr/>
      </w:pPr>
      <w:r>
        <w:rPr/>
        <w:t>Acortamiento de Plazos (Disminuye tiempo de atención o Resolución de asuntos)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Buenas prácticas: Definir la buena práctica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Eficiencia en mayor ahorro de costes, incremento de productividad o racionalización</w:t>
      </w:r>
    </w:p>
    <w:p>
      <w:pPr>
        <w:pStyle w:val="Normal"/>
        <w:ind w:left="708" w:right="0" w:hanging="0"/>
        <w:rPr/>
      </w:pPr>
      <w:r>
        <w:rPr/>
        <w:t xml:space="preserve"> </w:t>
      </w:r>
      <w:r>
        <w:rPr/>
        <w:t>Incremento Capacidad de Respuesta Mejora de la atención, seguridad, empatia facilidades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Informatización y e-Administración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Mejora de la Responsabilidad y garantías de cumplimiento.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Mejora de la eficacia - Mejora de procesos o procedimientos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Nuevos compromisos o reformulación de los existentes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Nuevos compromisos, Nuevos indicadores (más claros y concisos)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Nuevos procesos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Para solucionar cuestiones planteadas en quejas o sugerencias</w:t>
      </w:r>
    </w:p>
    <w:p>
      <w:pPr>
        <w:pStyle w:val="Normal"/>
        <w:ind w:left="0" w:right="0" w:firstLine="708"/>
        <w:rPr/>
      </w:pPr>
      <w:r>
        <w:rPr/>
        <w:t xml:space="preserve"> </w:t>
      </w:r>
      <w:r>
        <w:rPr/>
        <w:t>Simplificación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Alcance </w:t>
      </w:r>
    </w:p>
    <w:p>
      <w:pPr>
        <w:pStyle w:val="Normal"/>
        <w:ind w:left="0" w:right="0" w:firstLine="708"/>
        <w:rPr/>
      </w:pPr>
      <w:r>
        <w:rPr/>
        <w:t xml:space="preserve">(poder elegir de la estructura orgánica).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Procedimiento/s  </w:t>
      </w:r>
    </w:p>
    <w:p>
      <w:pPr>
        <w:pStyle w:val="Normal"/>
        <w:ind w:left="0" w:right="0" w:firstLine="708"/>
        <w:rPr/>
      </w:pPr>
      <w:r>
        <w:rPr>
          <w:b/>
          <w:bCs/>
        </w:rPr>
        <w:t>(</w:t>
      </w:r>
      <w:r>
        <w:rPr/>
        <w:t xml:space="preserve">Si afecta a uno o varios procedimientos poner código, separados por comas)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Grupos de interés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Fortalezas, definidas en la evaluación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Áreas de mejora definidas en la evaluación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Contexto y áreas de mejora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Alternativas a explorar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Resultado esperado final (entregado) </w:t>
      </w:r>
    </w:p>
    <w:p>
      <w:pPr>
        <w:pStyle w:val="Normal"/>
        <w:rPr>
          <w:b/>
          <w:bCs/>
        </w:rPr>
      </w:pPr>
      <w:r>
        <w:rPr>
          <w:b/>
          <w:bCs/>
        </w:rPr>
        <w:t>Requisitos</w:t>
      </w:r>
    </w:p>
    <w:p>
      <w:pPr>
        <w:pStyle w:val="Normal"/>
        <w:rPr>
          <w:b/>
          <w:bCs/>
        </w:rPr>
      </w:pPr>
      <w:r>
        <w:rPr>
          <w:b/>
          <w:bCs/>
        </w:rPr>
        <w:t>Restricciones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Mod. legislación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Organizativas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Personal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Presupuestos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Tecnología: Equipos</w:t>
      </w:r>
    </w:p>
    <w:p>
      <w:pPr>
        <w:pStyle w:val="Normal"/>
        <w:ind w:left="0" w:right="0" w:firstLine="708"/>
        <w:rPr/>
      </w:pPr>
      <w:r>
        <w:rPr/>
        <w:t>•</w:t>
      </w:r>
      <w:r>
        <w:rPr/>
        <w:tab/>
        <w:t xml:space="preserve">  Tecnología: Software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Recursos humanos necesarios (en persona/ día)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Presupuesto </w:t>
      </w:r>
    </w:p>
    <w:p>
      <w:pPr>
        <w:pStyle w:val="Normal"/>
        <w:rPr>
          <w:b/>
          <w:bCs/>
        </w:rPr>
      </w:pPr>
      <w:r>
        <w:rPr>
          <w:b/>
          <w:bCs/>
        </w:rPr>
        <w:t>Calendario</w:t>
      </w:r>
    </w:p>
    <w:p>
      <w:pPr>
        <w:pStyle w:val="Normal"/>
        <w:ind w:left="708" w:right="0" w:hanging="0"/>
        <w:rPr/>
      </w:pPr>
      <w:r>
        <w:rPr/>
        <w:t xml:space="preserve">Fecha de inicio </w:t>
      </w:r>
    </w:p>
    <w:p>
      <w:pPr>
        <w:pStyle w:val="Normal"/>
        <w:ind w:left="708" w:right="0" w:hanging="0"/>
        <w:rPr/>
      </w:pPr>
      <w:r>
        <w:rPr/>
        <w:t>Plazo estimado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1 semana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15 días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1 mes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2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3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4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5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6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8 meses</w:t>
      </w:r>
    </w:p>
    <w:p>
      <w:pPr>
        <w:pStyle w:val="Normal"/>
        <w:ind w:left="1416" w:right="0" w:hanging="0"/>
        <w:rPr/>
      </w:pPr>
      <w:r>
        <w:rPr/>
        <w:t xml:space="preserve"> </w:t>
      </w:r>
      <w:r>
        <w:rPr/>
        <w:t>Más de 8 meses</w:t>
      </w:r>
    </w:p>
    <w:p>
      <w:pPr>
        <w:pStyle w:val="Normal"/>
        <w:rPr/>
      </w:pPr>
      <w:r>
        <w:rPr/>
      </w:r>
    </w:p>
    <w:p>
      <w:pPr>
        <w:pStyle w:val="Normal"/>
        <w:pageBreakBefore/>
        <w:spacing w:before="0" w:after="160"/>
        <w:rPr/>
      </w:pPr>
      <w:r>
        <w:rPr/>
        <w:t>2.- Acción 2 …</w:t>
      </w:r>
    </w:p>
    <w:sectPr>
      <w:footerReference w:type="default" r:id="rId4"/>
      <w:type w:val="nextPage"/>
      <w:pgSz w:orient="landscape" w:w="16838" w:h="11906"/>
      <w:pgMar w:left="1134" w:right="1134" w:header="0" w:top="1134" w:footer="1134" w:bottom="1673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spacing w:before="0" w:after="16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160"/>
      <w:jc w:val="right"/>
      <w:rPr/>
    </w:pPr>
    <w:r>
      <w:rPr/>
      <w:t xml:space="preserve">Expediente: 2011-003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E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lacedeInternet">
    <w:name w:val="Enlace de Internet"/>
    <w:uiPriority w:val="99"/>
    <w:unhideWhenUsed/>
    <w:rsid w:val="00200a80"/>
    <w:basedOn w:val="DefaultParagraphFont"/>
    <w:rPr>
      <w:color w:val="0563C1"/>
      <w:u w:val="single"/>
      <w:lang w:val="zxx" w:eastAsia="zxx" w:bidi="zxx"/>
    </w:rPr>
  </w:style>
  <w:style w:type="character" w:styleId="Vietas">
    <w:name w:val="Viñet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/>
    <w:rPr/>
  </w:style>
  <w:style w:type="paragraph" w:styleId="Encabezadodelatabla">
    <w:name w:val="Encabezado de la tabla"/>
    <w:basedOn w:val="Contenidodelatabla"/>
    <w:pPr/>
    <w:rPr/>
  </w:style>
  <w:style w:type="paragraph" w:styleId="Encabezamiento">
    <w:name w:val="Encabezamiento"/>
    <w:basedOn w:val="Normal"/>
    <w:pPr/>
    <w:rPr/>
  </w:style>
  <w:style w:type="paragraph" w:styleId="Piedepgina">
    <w:name w:val="Pie de página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2016-02-26T12:18:00Z</dcterms:created>
  <dc:creator>MARTINEZ GUEVARA, JUAN BAUTISTA</dc:creator>
  <dc:language>es-ES</dc:language>
  <cp:lastModifiedBy>MARTINEZ GUEVARA, JUAN BAUTISTA</cp:lastModifiedBy>
  <dcterms:modified xsi:type="dcterms:W3CDTF">2016-02-26T13:16:00Z</dcterms:modified>
  <cp:revision>3</cp:revision>
</cp:coreProperties>
</file>