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836C" w14:textId="77777777" w:rsidR="00EF33DD" w:rsidRDefault="00EF33DD" w:rsidP="00EF33DD">
      <w:pPr>
        <w:jc w:val="both"/>
      </w:pPr>
      <w:r w:rsidRPr="00EF33DD">
        <w:t>Aplicación del Diseño, los Colores y los Principios de la Gestalt en mi interfaz</w:t>
      </w:r>
      <w:r w:rsidRPr="00EF33DD">
        <w:br/>
      </w:r>
      <w:r w:rsidRPr="00EF33DD">
        <w:br/>
        <w:t>En el desarrollo de mi interfaz para una galería de zapatos, mi objetivo ha sido crear una pantalla agradable, equilibrada y fácil de comprender para el usuario, de forma que pueda navegar por ella sin esfuerzo y captar rápidamente qué elementos son importantes.</w:t>
      </w:r>
    </w:p>
    <w:p w14:paraId="6A92E81E" w14:textId="21575869" w:rsidR="00EF33DD" w:rsidRDefault="00EF33DD" w:rsidP="00EF33DD">
      <w:pPr>
        <w:jc w:val="both"/>
      </w:pPr>
      <w:r w:rsidRPr="00EF33DD">
        <w:br/>
        <w:t>- DISEÑO</w:t>
      </w:r>
    </w:p>
    <w:p w14:paraId="726F1ECB" w14:textId="2CE50F91" w:rsidR="00EF33DD" w:rsidRDefault="00EF33DD" w:rsidP="00EF33DD">
      <w:pPr>
        <w:jc w:val="both"/>
      </w:pPr>
      <w:r w:rsidRPr="00EF33DD">
        <w:t>Lo primero que he tenido en cuenta ha sido el equilibrio visual. Me he asegurado de distribuir los elementos de la pantalla de forma ordenada y armoniosa, evitando que quedaran agrupados solo en una parte o generaran sensación de desorden.</w:t>
      </w:r>
    </w:p>
    <w:p w14:paraId="2A563620" w14:textId="0AF19F0B" w:rsidR="00EF33DD" w:rsidRDefault="00EF33DD" w:rsidP="00EF33DD">
      <w:pPr>
        <w:jc w:val="both"/>
      </w:pPr>
      <w:r w:rsidRPr="00EF33DD">
        <w:t>Para conseguir ese equilibrio:</w:t>
      </w:r>
    </w:p>
    <w:p w14:paraId="5F1A8270" w14:textId="0CFD1E91" w:rsidR="00EF33DD" w:rsidRDefault="00EF33DD" w:rsidP="00EF33DD">
      <w:pPr>
        <w:jc w:val="both"/>
      </w:pPr>
      <w:r>
        <w:t>-El menú aparece a la izquierda arriba como en la mayoría de las aplicaciones para hacer más fácil la usabilidad del usuario.</w:t>
      </w:r>
      <w:r w:rsidRPr="00EF33DD">
        <w:br/>
        <w:t>-El t</w:t>
      </w:r>
      <w:r>
        <w:t>í</w:t>
      </w:r>
      <w:r w:rsidRPr="00EF33DD">
        <w:t>tulo aparece centrado en la pantalla, transmitiendo simetría.</w:t>
      </w:r>
      <w:r w:rsidRPr="00EF33DD">
        <w:rPr>
          <w:rFonts w:ascii="MS Gothic" w:eastAsia="MS Gothic" w:hAnsi="MS Gothic" w:cs="MS Gothic" w:hint="eastAsia"/>
        </w:rPr>
        <w:t> </w:t>
      </w:r>
      <w:r w:rsidRPr="00EF33DD">
        <w:t xml:space="preserve"> </w:t>
      </w:r>
    </w:p>
    <w:p w14:paraId="18F9C834" w14:textId="19A65718" w:rsidR="00EF33DD" w:rsidRPr="00EF33DD" w:rsidRDefault="00EF33DD" w:rsidP="00EF33DD">
      <w:pPr>
        <w:jc w:val="both"/>
      </w:pPr>
      <w:r w:rsidRPr="00EF33DD">
        <w:t>-Las im</w:t>
      </w:r>
      <w:r w:rsidRPr="00EF33DD">
        <w:rPr>
          <w:rFonts w:ascii="Calibri" w:hAnsi="Calibri" w:cs="Calibri"/>
        </w:rPr>
        <w:t>á</w:t>
      </w:r>
      <w:r w:rsidRPr="00EF33DD">
        <w:t>genes se organizan en grupos visualmente alineados y con espacios regulares entre ellas.</w:t>
      </w:r>
      <w:r w:rsidRPr="00EF33DD">
        <w:rPr>
          <w:rFonts w:ascii="MS Gothic" w:eastAsia="MS Gothic" w:hAnsi="MS Gothic" w:cs="MS Gothic" w:hint="eastAsia"/>
        </w:rPr>
        <w:t>  </w:t>
      </w:r>
      <w:r w:rsidRPr="00EF33DD">
        <w:br/>
      </w:r>
      <w:r>
        <w:t>-</w:t>
      </w:r>
      <w:r w:rsidRPr="00EF33DD">
        <w:t>Cada grupo de imágenes está acompañado de un título, lo que refuerza la estructura de la pantalla y facilita que el usuario entienda a qué corresponde cada sección.</w:t>
      </w:r>
      <w:r w:rsidRPr="00EF33DD">
        <w:rPr>
          <w:rFonts w:ascii="MS Gothic" w:eastAsia="MS Gothic" w:hAnsi="MS Gothic" w:cs="MS Gothic" w:hint="eastAsia"/>
        </w:rPr>
        <w:t>  </w:t>
      </w:r>
    </w:p>
    <w:p w14:paraId="5DB510B1" w14:textId="77777777" w:rsidR="00EF33DD" w:rsidRDefault="00EF33DD" w:rsidP="00EF33DD">
      <w:pPr>
        <w:jc w:val="both"/>
      </w:pPr>
      <w:r w:rsidRPr="00EF33DD">
        <w:t>Además, he utilizado un fondo diferenciado en cada bloque de contenido lo que ayuda a separar visualmente una sección de otra. El resultado es un diseño equilibrado, donde todo está colocado de manera clara, haciendo que la interfaz sea fácil de interpretar sin esfuerzo.</w:t>
      </w:r>
    </w:p>
    <w:p w14:paraId="11050DFC" w14:textId="1EA1873F" w:rsidR="00EF33DD" w:rsidRDefault="00EF33DD" w:rsidP="00EF33DD">
      <w:pPr>
        <w:jc w:val="both"/>
      </w:pPr>
      <w:r w:rsidRPr="00EF33DD">
        <w:br/>
        <w:t>-C</w:t>
      </w:r>
      <w:r>
        <w:t>OLORES</w:t>
      </w:r>
      <w:r w:rsidRPr="00EF33DD">
        <w:br/>
        <w:t xml:space="preserve">En mi interfaz he elegido una paleta de colores </w:t>
      </w:r>
      <w:r>
        <w:t>de estilos vintage combinando el color cálido, con un tono amarillo apagado y frío, con un tono azul. Reforzando la organización y el contenido.</w:t>
      </w:r>
    </w:p>
    <w:p w14:paraId="7AEB24D2" w14:textId="4B2FDED7" w:rsidR="00EF33DD" w:rsidRDefault="00EF33DD" w:rsidP="00EF33DD">
      <w:pPr>
        <w:jc w:val="both"/>
      </w:pPr>
      <w:r w:rsidRPr="00EF33DD">
        <w:br/>
        <w:t>-</w:t>
      </w:r>
      <w:r w:rsidRPr="00EF33DD">
        <w:t xml:space="preserve">PRINCIPIOS DE LA GESTALT </w:t>
      </w:r>
    </w:p>
    <w:p w14:paraId="7D80E102" w14:textId="78D41308" w:rsidR="00EF33DD" w:rsidRDefault="00EF33DD" w:rsidP="00EF33DD">
      <w:pPr>
        <w:jc w:val="both"/>
      </w:pPr>
      <w:r w:rsidRPr="00EF33DD">
        <w:t>Para organizar los elementos de la pantalla y facilitar su comprensión, he utilizado varias leyes de la psicología de la Gestalt, que explican cómo percibimos visualmente los objetos.</w:t>
      </w:r>
    </w:p>
    <w:p w14:paraId="5D8CFFBD" w14:textId="669F049D" w:rsidR="00EF33DD" w:rsidRDefault="00EF33DD" w:rsidP="00EF33DD">
      <w:pPr>
        <w:jc w:val="both"/>
      </w:pPr>
      <w:r w:rsidRPr="00EF33DD">
        <w:t>1. Ley de la buena forma</w:t>
      </w:r>
      <w:r>
        <w:rPr>
          <w:rFonts w:ascii="MS Gothic" w:eastAsia="MS Gothic" w:hAnsi="MS Gothic" w:cs="MS Gothic"/>
        </w:rPr>
        <w:t>:</w:t>
      </w:r>
      <w:r w:rsidRPr="00EF33DD">
        <w:t xml:space="preserve"> He utilizado formas sencillas y ordenadas. Cada secci</w:t>
      </w:r>
      <w:r w:rsidRPr="00EF33DD">
        <w:rPr>
          <w:rFonts w:ascii="Calibri" w:hAnsi="Calibri" w:cs="Calibri"/>
        </w:rPr>
        <w:t>ó</w:t>
      </w:r>
      <w:r w:rsidRPr="00EF33DD">
        <w:t>n tiene un t</w:t>
      </w:r>
      <w:r w:rsidRPr="00EF33DD">
        <w:rPr>
          <w:rFonts w:ascii="Calibri" w:hAnsi="Calibri" w:cs="Calibri"/>
        </w:rPr>
        <w:t>í</w:t>
      </w:r>
      <w:r w:rsidRPr="00EF33DD">
        <w:t>tulo y debajo las im</w:t>
      </w:r>
      <w:r w:rsidRPr="00EF33DD">
        <w:rPr>
          <w:rFonts w:ascii="Calibri" w:hAnsi="Calibri" w:cs="Calibri"/>
        </w:rPr>
        <w:t>á</w:t>
      </w:r>
      <w:r w:rsidRPr="00EF33DD">
        <w:t>genes se presentan de manera uniforme, lo que permite que el usuario identifique al instante la informaci</w:t>
      </w:r>
      <w:r w:rsidRPr="00EF33DD">
        <w:rPr>
          <w:rFonts w:ascii="Calibri" w:hAnsi="Calibri" w:cs="Calibri"/>
        </w:rPr>
        <w:t>ó</w:t>
      </w:r>
      <w:r w:rsidRPr="00EF33DD">
        <w:t>n sin confusi</w:t>
      </w:r>
      <w:r w:rsidRPr="00EF33DD">
        <w:rPr>
          <w:rFonts w:ascii="Calibri" w:hAnsi="Calibri" w:cs="Calibri"/>
        </w:rPr>
        <w:t>ó</w:t>
      </w:r>
      <w:r w:rsidRPr="00EF33DD">
        <w:t>n.</w:t>
      </w:r>
    </w:p>
    <w:p w14:paraId="7300A162" w14:textId="6F2E47FF" w:rsidR="00EF33DD" w:rsidRDefault="00EF33DD" w:rsidP="00EF33DD">
      <w:pPr>
        <w:jc w:val="both"/>
      </w:pPr>
      <w:r w:rsidRPr="00EF33DD">
        <w:t>2. Figura y fondo</w:t>
      </w:r>
      <w:r>
        <w:rPr>
          <w:rFonts w:ascii="MS Gothic" w:eastAsia="MS Gothic" w:hAnsi="MS Gothic" w:cs="MS Gothic"/>
        </w:rPr>
        <w:t xml:space="preserve">: </w:t>
      </w:r>
      <w:r w:rsidRPr="00EF33DD">
        <w:t xml:space="preserve">La pantalla tiene un fondo general, y sobre él se sitúan distintas secciones con otro color. Esto hace que el contenido que quiero destacar </w:t>
      </w:r>
      <w:r>
        <w:t>como los grupos de zapatos</w:t>
      </w:r>
      <w:r w:rsidRPr="00EF33DD">
        <w:t xml:space="preserve"> se perciba como figura, mientras que el fondo pasa a ser algo secundario. La atención del usuario va directamente a los elementos importantes.</w:t>
      </w:r>
    </w:p>
    <w:p w14:paraId="72BC2D18" w14:textId="796A02F6" w:rsidR="00EF33DD" w:rsidRDefault="00EF33DD" w:rsidP="00EF33DD">
      <w:pPr>
        <w:jc w:val="both"/>
      </w:pPr>
      <w:r w:rsidRPr="00EF33DD">
        <w:t>3. Proximidad</w:t>
      </w:r>
      <w:r>
        <w:t>:</w:t>
      </w:r>
      <w:r>
        <w:rPr>
          <w:rFonts w:ascii="MS Gothic" w:eastAsia="MS Gothic" w:hAnsi="MS Gothic" w:cs="MS Gothic"/>
        </w:rPr>
        <w:t xml:space="preserve"> </w:t>
      </w:r>
      <w:r w:rsidRPr="00EF33DD">
        <w:t>Las im</w:t>
      </w:r>
      <w:r w:rsidRPr="00EF33DD">
        <w:rPr>
          <w:rFonts w:ascii="Calibri" w:hAnsi="Calibri" w:cs="Calibri"/>
        </w:rPr>
        <w:t>á</w:t>
      </w:r>
      <w:r w:rsidRPr="00EF33DD">
        <w:t>genes relacionadas entre s</w:t>
      </w:r>
      <w:r w:rsidRPr="00EF33DD">
        <w:rPr>
          <w:rFonts w:ascii="Calibri" w:hAnsi="Calibri" w:cs="Calibri"/>
        </w:rPr>
        <w:t>í</w:t>
      </w:r>
      <w:r w:rsidRPr="00EF33DD">
        <w:t xml:space="preserve"> se colocan juntas. Gracias a esto, el usuario interpreta autom</w:t>
      </w:r>
      <w:r w:rsidRPr="00EF33DD">
        <w:rPr>
          <w:rFonts w:ascii="Calibri" w:hAnsi="Calibri" w:cs="Calibri"/>
        </w:rPr>
        <w:t>á</w:t>
      </w:r>
      <w:r w:rsidRPr="00EF33DD">
        <w:t>ticamente que forman parte del mismo grupo, aunque no haya ninguna indicaci</w:t>
      </w:r>
      <w:r w:rsidRPr="00EF33DD">
        <w:rPr>
          <w:rFonts w:ascii="Calibri" w:hAnsi="Calibri" w:cs="Calibri"/>
        </w:rPr>
        <w:t>ó</w:t>
      </w:r>
      <w:r w:rsidRPr="00EF33DD">
        <w:t>n adicional.</w:t>
      </w:r>
      <w:r w:rsidRPr="00EF33DD">
        <w:br/>
        <w:t>4. Semejanza</w:t>
      </w:r>
      <w:r>
        <w:rPr>
          <w:rFonts w:ascii="MS Gothic" w:eastAsia="MS Gothic" w:hAnsi="MS Gothic" w:cs="MS Gothic"/>
        </w:rPr>
        <w:t xml:space="preserve">: </w:t>
      </w:r>
      <w:r w:rsidRPr="00EF33DD">
        <w:t xml:space="preserve">Las imágenes tienen el mismo tamaño y la misma forma. La repetición visual </w:t>
      </w:r>
      <w:r w:rsidRPr="00EF33DD">
        <w:lastRenderedPageBreak/>
        <w:t>hace que el usuario las identifique como partes de un mismo conjunto, favoreciendo el orden visual.</w:t>
      </w:r>
    </w:p>
    <w:p w14:paraId="26379E4E" w14:textId="05DFB8AB" w:rsidR="00EF33DD" w:rsidRDefault="00EF33DD" w:rsidP="00EF33DD">
      <w:pPr>
        <w:jc w:val="both"/>
      </w:pPr>
      <w:r w:rsidRPr="00EF33DD">
        <w:t>5. Cierre</w:t>
      </w:r>
      <w:r>
        <w:rPr>
          <w:rFonts w:ascii="MS Gothic" w:eastAsia="MS Gothic" w:hAnsi="MS Gothic" w:cs="MS Gothic"/>
        </w:rPr>
        <w:t xml:space="preserve">: </w:t>
      </w:r>
      <w:r w:rsidRPr="00EF33DD">
        <w:t>Aunque los bloques de contenido no tienen un borde dibujado, el color del fondo de cada secci</w:t>
      </w:r>
      <w:r w:rsidRPr="00EF33DD">
        <w:rPr>
          <w:rFonts w:ascii="Calibri" w:hAnsi="Calibri" w:cs="Calibri"/>
        </w:rPr>
        <w:t>ó</w:t>
      </w:r>
      <w:r w:rsidRPr="00EF33DD">
        <w:t>n hace que la mente cierre la forma de manera autom</w:t>
      </w:r>
      <w:r w:rsidRPr="00EF33DD">
        <w:rPr>
          <w:rFonts w:ascii="Calibri" w:hAnsi="Calibri" w:cs="Calibri"/>
        </w:rPr>
        <w:t>á</w:t>
      </w:r>
      <w:r w:rsidRPr="00EF33DD">
        <w:t>tica y perciba cada grupo como una unidad completa.</w:t>
      </w:r>
    </w:p>
    <w:p w14:paraId="618581FB" w14:textId="2C391DC3" w:rsidR="00C45D94" w:rsidRPr="00EF33DD" w:rsidRDefault="00EF33DD" w:rsidP="00EF33DD">
      <w:pPr>
        <w:jc w:val="both"/>
      </w:pPr>
      <w:r w:rsidRPr="00EF33DD">
        <w:t>6. Continuidad</w:t>
      </w:r>
      <w:r>
        <w:rPr>
          <w:rFonts w:ascii="MS Gothic" w:eastAsia="MS Gothic" w:hAnsi="MS Gothic" w:cs="MS Gothic"/>
        </w:rPr>
        <w:t xml:space="preserve">: </w:t>
      </w:r>
      <w:r w:rsidRPr="00EF33DD">
        <w:t>Las im</w:t>
      </w:r>
      <w:r w:rsidRPr="00EF33DD">
        <w:rPr>
          <w:rFonts w:ascii="Calibri" w:hAnsi="Calibri" w:cs="Calibri"/>
        </w:rPr>
        <w:t>á</w:t>
      </w:r>
      <w:r w:rsidRPr="00EF33DD">
        <w:t>genes est</w:t>
      </w:r>
      <w:r w:rsidRPr="00EF33DD">
        <w:rPr>
          <w:rFonts w:ascii="Calibri" w:hAnsi="Calibri" w:cs="Calibri"/>
        </w:rPr>
        <w:t>á</w:t>
      </w:r>
      <w:r w:rsidRPr="00EF33DD">
        <w:t>n colocadas en una l</w:t>
      </w:r>
      <w:r w:rsidRPr="00EF33DD">
        <w:rPr>
          <w:rFonts w:ascii="Calibri" w:hAnsi="Calibri" w:cs="Calibri"/>
        </w:rPr>
        <w:t>í</w:t>
      </w:r>
      <w:r w:rsidRPr="00EF33DD">
        <w:t>nea horizontal. Esto dirige la mirada del usuario de forma natural, invit</w:t>
      </w:r>
      <w:r w:rsidRPr="00EF33DD">
        <w:rPr>
          <w:rFonts w:ascii="Calibri" w:hAnsi="Calibri" w:cs="Calibri"/>
        </w:rPr>
        <w:t>á</w:t>
      </w:r>
      <w:r w:rsidRPr="00EF33DD">
        <w:t>ndolo a recorrer todos los elementos de manera fluida, sin interrupciones.</w:t>
      </w:r>
      <w:r w:rsidRPr="00EF33DD">
        <w:br/>
      </w:r>
    </w:p>
    <w:sectPr w:rsidR="00C45D94" w:rsidRPr="00EF33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53A19"/>
    <w:multiLevelType w:val="multilevel"/>
    <w:tmpl w:val="363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54995"/>
    <w:multiLevelType w:val="multilevel"/>
    <w:tmpl w:val="318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D2FC6"/>
    <w:multiLevelType w:val="multilevel"/>
    <w:tmpl w:val="F87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906D4"/>
    <w:multiLevelType w:val="multilevel"/>
    <w:tmpl w:val="204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714614">
    <w:abstractNumId w:val="0"/>
  </w:num>
  <w:num w:numId="2" w16cid:durableId="30689752">
    <w:abstractNumId w:val="1"/>
  </w:num>
  <w:num w:numId="3" w16cid:durableId="532887228">
    <w:abstractNumId w:val="2"/>
  </w:num>
  <w:num w:numId="4" w16cid:durableId="1261110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DD"/>
    <w:rsid w:val="002158C7"/>
    <w:rsid w:val="00236E3D"/>
    <w:rsid w:val="00C45D94"/>
    <w:rsid w:val="00CA6EE6"/>
    <w:rsid w:val="00EF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C0F00"/>
  <w15:chartTrackingRefBased/>
  <w15:docId w15:val="{CBF987A6-FA76-46AC-BDA0-4063CDCF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3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3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3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3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3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3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3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3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33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3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3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 Pérez Martínez</dc:creator>
  <cp:keywords/>
  <dc:description/>
  <cp:lastModifiedBy>Lola Pérez Martínez</cp:lastModifiedBy>
  <cp:revision>1</cp:revision>
  <dcterms:created xsi:type="dcterms:W3CDTF">2025-11-12T13:11:00Z</dcterms:created>
  <dcterms:modified xsi:type="dcterms:W3CDTF">2025-11-12T13:21:00Z</dcterms:modified>
</cp:coreProperties>
</file>