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数据集介绍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本实验使用了两个公开数据集的数据，分别用于训练分类模型和目标检测模型。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第一个数据集是道路坑洼检测数据集，用于分类任务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420" w:firstLineChars="0"/>
        <w:jc w:val="left"/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</w:rPr>
        <w:t>数据集包含两个文件夹 - 正常和坑洼。“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</w:rPr>
        <w:t>ormal”包含从不同角度拍摄的平坦道路图像，“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</w:rPr>
        <w:t>otholes”包含道路上有坑洼的图像。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t>每个类别有300多张图像数据。数据集下载地址：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instrText xml:space="preserve"> HYPERLINK "https://www.cvmart.net/dataSets/detail/686?channel_id=op10&amp;utm_source=cvmartmp&amp;utm_campaign=datasets&amp;utm_medium=article" </w:instrTex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t>https://www.cvmart.net/dataSets/detail/686?channel_id=op10&amp;utm_source=cvmartmp&amp;utm_campaign=datasets&amp;utm_medium=article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right="0"/>
        <w:jc w:val="left"/>
        <w:rPr>
          <w:rFonts w:hint="default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t>为更符合项目需求，对数据集中的图片数据进行了一些改动，并添加了一些自己搜集的数据。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420" w:firstLineChars="0"/>
        <w:jc w:val="left"/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t>第二个数据集是坑洼检测数据集  类型：目标检测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420" w:firstLineChars="0"/>
        <w:jc w:val="left"/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t>数量：665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420" w:firstLineChars="0"/>
        <w:jc w:val="left"/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t>数据集下载地址：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instrText xml:space="preserve"> HYPERLINK "https://www.kaggle.com/datasets/chitholian/annotated-potholes-dataset" </w:instrTex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t>https://www.kaggle.com/datasets/chitholian/annotated-potholes-dataset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11"/>
          <w:sz w:val="24"/>
          <w:szCs w:val="24"/>
          <w:bdr w:val="none" w:color="auto" w:sz="0" w:space="0"/>
          <w:shd w:val="clear" w:fill="FFFFFF"/>
          <w:lang w:val="en-US" w:eastAsia="zh-CN"/>
        </w:rPr>
        <w:t>说明：本数据集汇总了665个在坑洼处带有3K +注释的图像，用于从道路图像中检测坑洼，检测道路地形和坑洼。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3ZjhmNGJiNjE0MjY3NWM5MjIwMzJlMjVlZGRmYjAifQ=="/>
  </w:docVars>
  <w:rsids>
    <w:rsidRoot w:val="00000000"/>
    <w:rsid w:val="2EB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2024-01-06T14:05:47Z</dcterms:created>
  <dc:creator>86135</dc:creator>
  <cp:lastModifiedBy>湖心亭</cp:lastModifiedBy>
  <dcterms:modified xsi:type="dcterms:W3CDTF">2024-01-06T16:48:56Z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522EB87B793D4CFBA913E5BD52808A26_12</vt:lpwstr>
  </property>
</Properties>
</file>