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F5017" w14:textId="77777777" w:rsidR="00004F91" w:rsidRDefault="009864C5">
      <w:pPr>
        <w:pStyle w:val="normal"/>
        <w:jc w:val="center"/>
        <w:rPr>
          <w:b/>
        </w:rPr>
      </w:pPr>
      <w:r>
        <w:rPr>
          <w:b/>
        </w:rPr>
        <w:t>“What causes antibiotic resistance?” Alignment to reference, variant</w:t>
      </w:r>
    </w:p>
    <w:p w14:paraId="4B5041E5" w14:textId="77777777" w:rsidR="00004F91" w:rsidRDefault="009864C5">
      <w:pPr>
        <w:pStyle w:val="normal"/>
        <w:jc w:val="center"/>
        <w:rPr>
          <w:b/>
        </w:rPr>
      </w:pPr>
      <w:r>
        <w:rPr>
          <w:b/>
        </w:rPr>
        <w:t>calling.</w:t>
      </w:r>
    </w:p>
    <w:p w14:paraId="60FCC93A" w14:textId="77777777" w:rsidR="00004F91" w:rsidRDefault="009864C5">
      <w:pPr>
        <w:pStyle w:val="normal"/>
        <w:jc w:val="center"/>
        <w:rPr>
          <w:b/>
        </w:rPr>
      </w:pPr>
      <w:r>
        <w:t>Alekseeva L., Kureev N., Ovsyannikova A.</w:t>
      </w:r>
      <w:r>
        <w:rPr>
          <w:b/>
        </w:rPr>
        <w:t xml:space="preserve"> </w:t>
      </w:r>
      <w:r>
        <w:rPr>
          <w:b/>
        </w:rPr>
        <w:tab/>
        <w:t xml:space="preserve"> </w:t>
      </w:r>
      <w:r>
        <w:rPr>
          <w:b/>
        </w:rPr>
        <w:tab/>
      </w:r>
    </w:p>
    <w:p w14:paraId="5CC0AA82" w14:textId="77777777" w:rsidR="00004F91" w:rsidRDefault="009864C5">
      <w:pPr>
        <w:pStyle w:val="normal"/>
        <w:spacing w:before="240" w:line="240" w:lineRule="auto"/>
        <w:jc w:val="both"/>
      </w:pPr>
      <w:r>
        <w:rPr>
          <w:b/>
        </w:rPr>
        <w:t>Abstract</w:t>
      </w:r>
      <w:r>
        <w:rPr>
          <w:b/>
        </w:rPr>
        <w:br/>
      </w:r>
      <w:r>
        <w:t>Ubiquitous application of antibiotics causes development of bacterial antibiotic resistance. It’s very important to investigate which mechanism is responsible for bacterial adaptation. SNP (single nucleotide polymorphism) is one of the reasons of antibioti</w:t>
      </w:r>
      <w:r>
        <w:t>c resistance. Mutations in bacterial genes lead to changes in protein structures. Because of this antibiotics can’t interact with bacterial proteins anymore.</w:t>
      </w:r>
      <w:r>
        <w:br/>
        <w:t xml:space="preserve">In this study we perform antibiotic resistance causes research of </w:t>
      </w:r>
      <w:r>
        <w:rPr>
          <w:i/>
        </w:rPr>
        <w:t>Escherichia coli</w:t>
      </w:r>
      <w:r>
        <w:t xml:space="preserve"> K-12 strain. Us</w:t>
      </w:r>
      <w:r>
        <w:t xml:space="preserve">ing Illumina sequencing data performed by 455876 reads we identified 5 SNPs in </w:t>
      </w:r>
      <w:r>
        <w:rPr>
          <w:i/>
        </w:rPr>
        <w:t>E. coli</w:t>
      </w:r>
      <w:r>
        <w:t xml:space="preserve"> K-12 strain genome.</w:t>
      </w:r>
    </w:p>
    <w:p w14:paraId="665A2167" w14:textId="77777777" w:rsidR="00004F91" w:rsidRDefault="00004F91">
      <w:pPr>
        <w:pStyle w:val="normal"/>
        <w:jc w:val="both"/>
        <w:rPr>
          <w:b/>
        </w:rPr>
      </w:pPr>
    </w:p>
    <w:p w14:paraId="2AC06701" w14:textId="77777777" w:rsidR="00004F91" w:rsidRDefault="009864C5">
      <w:pPr>
        <w:pStyle w:val="normal"/>
        <w:jc w:val="both"/>
        <w:rPr>
          <w:b/>
        </w:rPr>
      </w:pPr>
      <w:r>
        <w:rPr>
          <w:b/>
        </w:rPr>
        <w:t>Introduction</w:t>
      </w:r>
    </w:p>
    <w:p w14:paraId="323C4B22" w14:textId="77777777" w:rsidR="00004F91" w:rsidRDefault="009864C5">
      <w:pPr>
        <w:pStyle w:val="normal"/>
        <w:jc w:val="both"/>
      </w:pPr>
      <w:r>
        <w:t xml:space="preserve">Pathogenic </w:t>
      </w:r>
      <w:r>
        <w:rPr>
          <w:i/>
        </w:rPr>
        <w:t>E. coli</w:t>
      </w:r>
      <w:r>
        <w:t xml:space="preserve"> often causes diarrhea, sepsis and other clinical symptoms and remains one of the main intestinal pathogens that affe</w:t>
      </w:r>
      <w:r>
        <w:t>ct human and animal health. Ampicillin is a semi-synthetic antibiotic used to treat various infectious diseases of the respiratory tract, urinary tract, liver and gastrointestinal tract, but its resistance level has recently increased. AMP works at the sta</w:t>
      </w:r>
      <w:r>
        <w:t>ge of active replication of bacteria, inhibiting the synthesis of the bacterial cell wall. Bacteria often resist such an antibiotic in the following ways: encodes β-lactamase, changes the target protein in the cell wall, reduces the permeability of the out</w:t>
      </w:r>
      <w:r>
        <w:t xml:space="preserve">er membrane and increases the expression of drug outflow [1]. </w:t>
      </w:r>
      <w:r>
        <w:rPr>
          <w:highlight w:val="white"/>
        </w:rPr>
        <w:t xml:space="preserve">The purpose of this study is to analyze the raw sequence data of </w:t>
      </w:r>
      <w:r>
        <w:rPr>
          <w:i/>
        </w:rPr>
        <w:t>E. coli</w:t>
      </w:r>
      <w:r>
        <w:t xml:space="preserve"> mutant and</w:t>
      </w:r>
      <w:r>
        <w:rPr>
          <w:i/>
        </w:rPr>
        <w:t xml:space="preserve"> </w:t>
      </w:r>
      <w:r>
        <w:rPr>
          <w:highlight w:val="white"/>
        </w:rPr>
        <w:t xml:space="preserve">try to explain  the hypothetical mechanism of </w:t>
      </w:r>
      <w:r>
        <w:rPr>
          <w:i/>
        </w:rPr>
        <w:t>E. coli</w:t>
      </w:r>
      <w:r>
        <w:rPr>
          <w:highlight w:val="white"/>
        </w:rPr>
        <w:t xml:space="preserve"> resistance to ampicillin. </w:t>
      </w:r>
    </w:p>
    <w:p w14:paraId="4E1B32EA" w14:textId="77777777" w:rsidR="00004F91" w:rsidRDefault="00004F91">
      <w:pPr>
        <w:pStyle w:val="normal"/>
        <w:jc w:val="both"/>
        <w:rPr>
          <w:b/>
        </w:rPr>
      </w:pPr>
    </w:p>
    <w:p w14:paraId="047D1381" w14:textId="77777777" w:rsidR="00004F91" w:rsidRDefault="009864C5">
      <w:pPr>
        <w:pStyle w:val="normal"/>
        <w:jc w:val="both"/>
        <w:rPr>
          <w:b/>
        </w:rPr>
      </w:pPr>
      <w:r>
        <w:rPr>
          <w:b/>
        </w:rPr>
        <w:t>Materials and methods</w:t>
      </w:r>
    </w:p>
    <w:p w14:paraId="4D61DCD5" w14:textId="77777777" w:rsidR="00004F91" w:rsidRDefault="009864C5">
      <w:pPr>
        <w:pStyle w:val="normal"/>
        <w:numPr>
          <w:ilvl w:val="0"/>
          <w:numId w:val="1"/>
        </w:numPr>
        <w:jc w:val="both"/>
        <w:rPr>
          <w:b/>
        </w:rPr>
      </w:pPr>
      <w:r>
        <w:rPr>
          <w:b/>
        </w:rPr>
        <w:t>Qualit</w:t>
      </w:r>
      <w:r>
        <w:rPr>
          <w:b/>
        </w:rPr>
        <w:t>y control of the reads</w:t>
      </w:r>
    </w:p>
    <w:p w14:paraId="3E61AE39" w14:textId="77777777" w:rsidR="00004F91" w:rsidRDefault="009864C5">
      <w:pPr>
        <w:pStyle w:val="normal"/>
        <w:jc w:val="both"/>
        <w:rPr>
          <w:highlight w:val="white"/>
        </w:rPr>
      </w:pPr>
      <w:r>
        <w:t>Raw reads were quality-checked with FastQC v. 0.11.8</w:t>
      </w:r>
      <w:r>
        <w:rPr>
          <w:highlight w:val="white"/>
        </w:rPr>
        <w:t xml:space="preserve"> and low-quality reads were trimmed using Trimmomatic v. 0.39.</w:t>
      </w:r>
    </w:p>
    <w:p w14:paraId="44658830" w14:textId="77777777" w:rsidR="00004F91" w:rsidRDefault="009864C5">
      <w:pPr>
        <w:pStyle w:val="normal"/>
        <w:numPr>
          <w:ilvl w:val="0"/>
          <w:numId w:val="1"/>
        </w:numPr>
        <w:spacing w:before="240" w:line="240" w:lineRule="auto"/>
        <w:rPr>
          <w:highlight w:val="white"/>
        </w:rPr>
      </w:pPr>
      <w:r>
        <w:rPr>
          <w:b/>
          <w:highlight w:val="white"/>
        </w:rPr>
        <w:t>Align reads to reference</w:t>
      </w:r>
      <w:r>
        <w:rPr>
          <w:b/>
          <w:highlight w:val="white"/>
        </w:rPr>
        <w:br/>
      </w:r>
      <w:r>
        <w:rPr>
          <w:highlight w:val="white"/>
        </w:rPr>
        <w:t xml:space="preserve">We used BWA align program with BWA-MEM mode. </w:t>
      </w:r>
      <w:r>
        <w:rPr>
          <w:i/>
          <w:highlight w:val="white"/>
        </w:rPr>
        <w:t>E. coli</w:t>
      </w:r>
      <w:r>
        <w:rPr>
          <w:highlight w:val="white"/>
        </w:rPr>
        <w:t xml:space="preserve"> K-12 strain genome from NCBI database wa</w:t>
      </w:r>
      <w:r>
        <w:rPr>
          <w:highlight w:val="white"/>
        </w:rPr>
        <w:t>s used as a reference.</w:t>
      </w:r>
      <w:r>
        <w:rPr>
          <w:highlight w:val="white"/>
        </w:rPr>
        <w:br/>
      </w:r>
    </w:p>
    <w:p w14:paraId="06267E38" w14:textId="77777777" w:rsidR="00004F91" w:rsidRDefault="009864C5" w:rsidP="009864C5">
      <w:pPr>
        <w:pStyle w:val="normal"/>
        <w:numPr>
          <w:ilvl w:val="0"/>
          <w:numId w:val="1"/>
        </w:numPr>
        <w:spacing w:line="240" w:lineRule="auto"/>
        <w:rPr>
          <w:highlight w:val="white"/>
        </w:rPr>
      </w:pPr>
      <w:r>
        <w:rPr>
          <w:b/>
          <w:highlight w:val="white"/>
        </w:rPr>
        <w:t>Suspicious position search</w:t>
      </w:r>
      <w:r>
        <w:rPr>
          <w:b/>
          <w:highlight w:val="white"/>
        </w:rPr>
        <w:br/>
      </w:r>
      <w:r>
        <w:rPr>
          <w:highlight w:val="white"/>
        </w:rPr>
        <w:t>With a help of Samtools and VarScan we got positions where mutations were more likely to occur.</w:t>
      </w:r>
      <w:r>
        <w:rPr>
          <w:highlight w:val="white"/>
        </w:rPr>
        <w:br/>
      </w:r>
    </w:p>
    <w:p w14:paraId="0DC4E996" w14:textId="77777777" w:rsidR="00004F91" w:rsidRDefault="009864C5">
      <w:pPr>
        <w:pStyle w:val="normal"/>
        <w:numPr>
          <w:ilvl w:val="0"/>
          <w:numId w:val="1"/>
        </w:numPr>
        <w:spacing w:line="240" w:lineRule="auto"/>
        <w:jc w:val="both"/>
        <w:rPr>
          <w:highlight w:val="white"/>
        </w:rPr>
      </w:pPr>
      <w:r>
        <w:rPr>
          <w:b/>
          <w:highlight w:val="white"/>
        </w:rPr>
        <w:t>Visualization</w:t>
      </w:r>
      <w:r>
        <w:rPr>
          <w:b/>
          <w:highlight w:val="white"/>
        </w:rPr>
        <w:br/>
      </w:r>
      <w:r>
        <w:rPr>
          <w:highlight w:val="white"/>
        </w:rPr>
        <w:t>Using aligned reads by BWA and annotation file from reference genome we got visual representat</w:t>
      </w:r>
      <w:r>
        <w:rPr>
          <w:highlight w:val="white"/>
        </w:rPr>
        <w:t>ion of SNP distribution by using IGV browser.</w:t>
      </w:r>
    </w:p>
    <w:p w14:paraId="5641DEA8" w14:textId="77777777" w:rsidR="00004F91" w:rsidRDefault="00004F91">
      <w:pPr>
        <w:pStyle w:val="normal"/>
        <w:jc w:val="both"/>
      </w:pPr>
    </w:p>
    <w:p w14:paraId="3807B197" w14:textId="77777777" w:rsidR="00004F91" w:rsidRDefault="009864C5">
      <w:pPr>
        <w:pStyle w:val="normal"/>
        <w:jc w:val="both"/>
        <w:rPr>
          <w:b/>
        </w:rPr>
      </w:pPr>
      <w:r>
        <w:rPr>
          <w:b/>
        </w:rPr>
        <w:t>Results</w:t>
      </w:r>
    </w:p>
    <w:p w14:paraId="1A34D08A" w14:textId="77777777" w:rsidR="00004F91" w:rsidRDefault="009864C5">
      <w:pPr>
        <w:pStyle w:val="normal"/>
        <w:jc w:val="both"/>
      </w:pPr>
      <w:r>
        <w:t>There were in total 455876 read pairs of which only 445689 (97,77%) survived trimming both forward and reverse, 9758 (2,14%) forward and 284 (0,06%) reverse reads survived without pair  and 145 reads w</w:t>
      </w:r>
      <w:r>
        <w:t>ere dropped (Figure 1). Total Sequences after trimming for forward and reverse were 453009 and 2821, respectively.</w:t>
      </w:r>
    </w:p>
    <w:p w14:paraId="7730FA13" w14:textId="77777777" w:rsidR="00004F91" w:rsidRDefault="009864C5">
      <w:pPr>
        <w:pStyle w:val="normal"/>
        <w:jc w:val="both"/>
      </w:pPr>
      <w:r>
        <w:t>a.</w:t>
      </w:r>
      <w:r>
        <w:rPr>
          <w:noProof/>
          <w:lang w:val="en-US"/>
        </w:rPr>
        <w:drawing>
          <wp:inline distT="114300" distB="114300" distL="114300" distR="114300" wp14:anchorId="18E1336E" wp14:editId="127EB3E4">
            <wp:extent cx="2038257" cy="144530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38257" cy="1445309"/>
                    </a:xfrm>
                    <a:prstGeom prst="rect">
                      <a:avLst/>
                    </a:prstGeom>
                    <a:ln/>
                  </pic:spPr>
                </pic:pic>
              </a:graphicData>
            </a:graphic>
          </wp:inline>
        </w:drawing>
      </w:r>
      <w:r>
        <w:t>b.</w:t>
      </w:r>
      <w:r>
        <w:rPr>
          <w:noProof/>
          <w:lang w:val="en-US"/>
        </w:rPr>
        <w:drawing>
          <wp:inline distT="114300" distB="114300" distL="114300" distR="114300" wp14:anchorId="21C7FCC2" wp14:editId="10386A88">
            <wp:extent cx="2052451" cy="14290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52451" cy="1429043"/>
                    </a:xfrm>
                    <a:prstGeom prst="rect">
                      <a:avLst/>
                    </a:prstGeom>
                    <a:ln/>
                  </pic:spPr>
                </pic:pic>
              </a:graphicData>
            </a:graphic>
          </wp:inline>
        </w:drawing>
      </w:r>
    </w:p>
    <w:p w14:paraId="2CF690BB" w14:textId="77777777" w:rsidR="00004F91" w:rsidRDefault="009864C5">
      <w:pPr>
        <w:pStyle w:val="normal"/>
        <w:jc w:val="both"/>
        <w:rPr>
          <w:b/>
          <w:i/>
        </w:rPr>
      </w:pPr>
      <w:r>
        <w:rPr>
          <w:i/>
        </w:rPr>
        <w:lastRenderedPageBreak/>
        <w:t>Figure 1. Per base sequence quality after trimming a) forward b) reverse</w:t>
      </w:r>
    </w:p>
    <w:p w14:paraId="0A1B2A15" w14:textId="77777777" w:rsidR="00004F91" w:rsidRDefault="009864C5">
      <w:pPr>
        <w:pStyle w:val="normal"/>
        <w:jc w:val="both"/>
      </w:pPr>
      <w:r>
        <w:t xml:space="preserve">Compared to the original </w:t>
      </w:r>
      <w:r>
        <w:rPr>
          <w:i/>
        </w:rPr>
        <w:t xml:space="preserve">E. coli </w:t>
      </w:r>
      <w:r>
        <w:t xml:space="preserve">strain K-12 substr. MG1655, </w:t>
      </w:r>
      <w:r>
        <w:t>there were five SNPs in  induced drug-resistant strain (Table 1).</w:t>
      </w:r>
    </w:p>
    <w:p w14:paraId="4F2A1A6E" w14:textId="77777777" w:rsidR="00004F91" w:rsidRDefault="009864C5">
      <w:pPr>
        <w:pStyle w:val="normal"/>
        <w:jc w:val="both"/>
        <w:rPr>
          <w:i/>
        </w:rPr>
      </w:pPr>
      <w:r>
        <w:rPr>
          <w:i/>
        </w:rPr>
        <w:t>Table 1. The SNPs analysis results of E. coli mutant strain</w:t>
      </w:r>
    </w:p>
    <w:tbl>
      <w:tblPr>
        <w:tblStyle w:val="a5"/>
        <w:tblW w:w="85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695"/>
        <w:gridCol w:w="2160"/>
        <w:gridCol w:w="1155"/>
        <w:gridCol w:w="900"/>
        <w:gridCol w:w="1800"/>
      </w:tblGrid>
      <w:tr w:rsidR="00004F91" w14:paraId="1706B742" w14:textId="77777777">
        <w:tc>
          <w:tcPr>
            <w:tcW w:w="825" w:type="dxa"/>
            <w:shd w:val="clear" w:color="auto" w:fill="auto"/>
            <w:tcMar>
              <w:top w:w="100" w:type="dxa"/>
              <w:left w:w="100" w:type="dxa"/>
              <w:bottom w:w="100" w:type="dxa"/>
              <w:right w:w="100" w:type="dxa"/>
            </w:tcMar>
          </w:tcPr>
          <w:p w14:paraId="1D44CDA6"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Gene</w:t>
            </w:r>
          </w:p>
        </w:tc>
        <w:tc>
          <w:tcPr>
            <w:tcW w:w="1695" w:type="dxa"/>
            <w:shd w:val="clear" w:color="auto" w:fill="auto"/>
            <w:tcMar>
              <w:top w:w="100" w:type="dxa"/>
              <w:left w:w="100" w:type="dxa"/>
              <w:bottom w:w="100" w:type="dxa"/>
              <w:right w:w="100" w:type="dxa"/>
            </w:tcMar>
          </w:tcPr>
          <w:p w14:paraId="73920B0E" w14:textId="77777777" w:rsidR="00004F91" w:rsidRDefault="009864C5">
            <w:pPr>
              <w:pStyle w:val="normal"/>
              <w:widowControl w:val="0"/>
              <w:spacing w:line="240" w:lineRule="auto"/>
              <w:jc w:val="center"/>
              <w:rPr>
                <w:sz w:val="20"/>
                <w:szCs w:val="20"/>
              </w:rPr>
            </w:pPr>
            <w:r>
              <w:rPr>
                <w:sz w:val="20"/>
                <w:szCs w:val="20"/>
              </w:rPr>
              <w:t>Accession</w:t>
            </w:r>
          </w:p>
        </w:tc>
        <w:tc>
          <w:tcPr>
            <w:tcW w:w="2160" w:type="dxa"/>
            <w:shd w:val="clear" w:color="auto" w:fill="auto"/>
            <w:tcMar>
              <w:top w:w="100" w:type="dxa"/>
              <w:left w:w="100" w:type="dxa"/>
              <w:bottom w:w="100" w:type="dxa"/>
              <w:right w:w="100" w:type="dxa"/>
            </w:tcMar>
          </w:tcPr>
          <w:p w14:paraId="44BF094D" w14:textId="77777777" w:rsidR="00004F91" w:rsidRDefault="009864C5">
            <w:pPr>
              <w:pStyle w:val="normal"/>
              <w:widowControl w:val="0"/>
              <w:spacing w:line="240" w:lineRule="auto"/>
              <w:jc w:val="center"/>
              <w:rPr>
                <w:sz w:val="20"/>
                <w:szCs w:val="20"/>
              </w:rPr>
            </w:pPr>
            <w:r>
              <w:rPr>
                <w:sz w:val="20"/>
                <w:szCs w:val="20"/>
              </w:rPr>
              <w:t>Product</w:t>
            </w:r>
          </w:p>
        </w:tc>
        <w:tc>
          <w:tcPr>
            <w:tcW w:w="1155" w:type="dxa"/>
            <w:shd w:val="clear" w:color="auto" w:fill="auto"/>
            <w:tcMar>
              <w:top w:w="100" w:type="dxa"/>
              <w:left w:w="100" w:type="dxa"/>
              <w:bottom w:w="100" w:type="dxa"/>
              <w:right w:w="100" w:type="dxa"/>
            </w:tcMar>
          </w:tcPr>
          <w:p w14:paraId="6FD4BA7E" w14:textId="77777777" w:rsidR="00004F91" w:rsidRDefault="009864C5">
            <w:pPr>
              <w:pStyle w:val="normal"/>
              <w:widowControl w:val="0"/>
              <w:spacing w:line="240" w:lineRule="auto"/>
              <w:jc w:val="center"/>
              <w:rPr>
                <w:sz w:val="20"/>
                <w:szCs w:val="20"/>
              </w:rPr>
            </w:pPr>
            <w:r>
              <w:rPr>
                <w:sz w:val="20"/>
                <w:szCs w:val="20"/>
              </w:rPr>
              <w:t>SNP position</w:t>
            </w:r>
          </w:p>
        </w:tc>
        <w:tc>
          <w:tcPr>
            <w:tcW w:w="900" w:type="dxa"/>
            <w:shd w:val="clear" w:color="auto" w:fill="auto"/>
            <w:tcMar>
              <w:top w:w="100" w:type="dxa"/>
              <w:left w:w="100" w:type="dxa"/>
              <w:bottom w:w="100" w:type="dxa"/>
              <w:right w:w="100" w:type="dxa"/>
            </w:tcMar>
          </w:tcPr>
          <w:p w14:paraId="4F0366B6" w14:textId="77777777" w:rsidR="00004F91" w:rsidRDefault="009864C5">
            <w:pPr>
              <w:pStyle w:val="normal"/>
              <w:widowControl w:val="0"/>
              <w:spacing w:line="240" w:lineRule="auto"/>
              <w:jc w:val="center"/>
              <w:rPr>
                <w:sz w:val="20"/>
                <w:szCs w:val="20"/>
              </w:rPr>
            </w:pPr>
            <w:r>
              <w:rPr>
                <w:sz w:val="20"/>
                <w:szCs w:val="20"/>
              </w:rPr>
              <w:t>Base</w:t>
            </w:r>
          </w:p>
        </w:tc>
        <w:tc>
          <w:tcPr>
            <w:tcW w:w="1800" w:type="dxa"/>
            <w:shd w:val="clear" w:color="auto" w:fill="auto"/>
            <w:tcMar>
              <w:top w:w="100" w:type="dxa"/>
              <w:left w:w="100" w:type="dxa"/>
              <w:bottom w:w="100" w:type="dxa"/>
              <w:right w:w="100" w:type="dxa"/>
            </w:tcMar>
          </w:tcPr>
          <w:p w14:paraId="50884688" w14:textId="77777777" w:rsidR="00004F91" w:rsidRDefault="009864C5">
            <w:pPr>
              <w:pStyle w:val="normal"/>
              <w:widowControl w:val="0"/>
              <w:spacing w:line="240" w:lineRule="auto"/>
              <w:jc w:val="center"/>
              <w:rPr>
                <w:sz w:val="20"/>
                <w:szCs w:val="20"/>
              </w:rPr>
            </w:pPr>
            <w:r>
              <w:rPr>
                <w:sz w:val="20"/>
                <w:szCs w:val="20"/>
              </w:rPr>
              <w:t>Codon</w:t>
            </w:r>
          </w:p>
        </w:tc>
      </w:tr>
      <w:tr w:rsidR="00004F91" w14:paraId="56A9D131" w14:textId="77777777">
        <w:tc>
          <w:tcPr>
            <w:tcW w:w="825" w:type="dxa"/>
            <w:shd w:val="clear" w:color="auto" w:fill="auto"/>
            <w:tcMar>
              <w:top w:w="100" w:type="dxa"/>
              <w:left w:w="100" w:type="dxa"/>
              <w:bottom w:w="100" w:type="dxa"/>
              <w:right w:w="100" w:type="dxa"/>
            </w:tcMar>
          </w:tcPr>
          <w:p w14:paraId="77B12F5F" w14:textId="77777777" w:rsidR="00004F91" w:rsidRDefault="009864C5">
            <w:pPr>
              <w:pStyle w:val="normal"/>
              <w:widowControl w:val="0"/>
              <w:spacing w:line="240" w:lineRule="auto"/>
              <w:jc w:val="center"/>
              <w:rPr>
                <w:sz w:val="20"/>
                <w:szCs w:val="20"/>
              </w:rPr>
            </w:pPr>
            <w:r>
              <w:rPr>
                <w:sz w:val="20"/>
                <w:szCs w:val="20"/>
              </w:rPr>
              <w:t xml:space="preserve">ftsI </w:t>
            </w:r>
          </w:p>
        </w:tc>
        <w:tc>
          <w:tcPr>
            <w:tcW w:w="1695" w:type="dxa"/>
            <w:shd w:val="clear" w:color="auto" w:fill="auto"/>
            <w:tcMar>
              <w:top w:w="100" w:type="dxa"/>
              <w:left w:w="100" w:type="dxa"/>
              <w:bottom w:w="100" w:type="dxa"/>
              <w:right w:w="100" w:type="dxa"/>
            </w:tcMar>
          </w:tcPr>
          <w:p w14:paraId="63734BE4"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AAC73195.1</w:t>
            </w:r>
          </w:p>
        </w:tc>
        <w:tc>
          <w:tcPr>
            <w:tcW w:w="2160" w:type="dxa"/>
            <w:shd w:val="clear" w:color="auto" w:fill="auto"/>
            <w:tcMar>
              <w:top w:w="100" w:type="dxa"/>
              <w:left w:w="100" w:type="dxa"/>
              <w:bottom w:w="100" w:type="dxa"/>
              <w:right w:w="100" w:type="dxa"/>
            </w:tcMar>
          </w:tcPr>
          <w:p w14:paraId="593357BF" w14:textId="77777777" w:rsidR="00004F91" w:rsidRDefault="009864C5">
            <w:pPr>
              <w:pStyle w:val="normal"/>
              <w:widowControl w:val="0"/>
              <w:pBdr>
                <w:top w:val="nil"/>
                <w:left w:val="nil"/>
                <w:bottom w:val="nil"/>
                <w:right w:val="nil"/>
                <w:between w:val="nil"/>
              </w:pBdr>
              <w:spacing w:line="240" w:lineRule="auto"/>
              <w:jc w:val="center"/>
              <w:rPr>
                <w:sz w:val="20"/>
                <w:szCs w:val="20"/>
                <w:highlight w:val="white"/>
              </w:rPr>
            </w:pPr>
            <w:r>
              <w:rPr>
                <w:sz w:val="20"/>
                <w:szCs w:val="20"/>
                <w:highlight w:val="white"/>
              </w:rPr>
              <w:t>peptidoglycan DD-transpeptidase FtsI</w:t>
            </w:r>
          </w:p>
        </w:tc>
        <w:tc>
          <w:tcPr>
            <w:tcW w:w="1155" w:type="dxa"/>
            <w:shd w:val="clear" w:color="auto" w:fill="auto"/>
            <w:tcMar>
              <w:top w:w="100" w:type="dxa"/>
              <w:left w:w="100" w:type="dxa"/>
              <w:bottom w:w="100" w:type="dxa"/>
              <w:right w:w="100" w:type="dxa"/>
            </w:tcMar>
          </w:tcPr>
          <w:p w14:paraId="21BA2623"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93043</w:t>
            </w:r>
          </w:p>
        </w:tc>
        <w:tc>
          <w:tcPr>
            <w:tcW w:w="900" w:type="dxa"/>
            <w:shd w:val="clear" w:color="auto" w:fill="auto"/>
            <w:tcMar>
              <w:top w:w="100" w:type="dxa"/>
              <w:left w:w="100" w:type="dxa"/>
              <w:bottom w:w="100" w:type="dxa"/>
              <w:right w:w="100" w:type="dxa"/>
            </w:tcMar>
          </w:tcPr>
          <w:p w14:paraId="7D55C7D4"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A → G</w:t>
            </w:r>
          </w:p>
        </w:tc>
        <w:tc>
          <w:tcPr>
            <w:tcW w:w="1800" w:type="dxa"/>
            <w:shd w:val="clear" w:color="auto" w:fill="auto"/>
            <w:tcMar>
              <w:top w:w="100" w:type="dxa"/>
              <w:left w:w="100" w:type="dxa"/>
              <w:bottom w:w="100" w:type="dxa"/>
              <w:right w:w="100" w:type="dxa"/>
            </w:tcMar>
          </w:tcPr>
          <w:p w14:paraId="5EE01C48"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GCC → GGC</w:t>
            </w:r>
          </w:p>
        </w:tc>
      </w:tr>
      <w:tr w:rsidR="00004F91" w14:paraId="6488BD2B" w14:textId="77777777">
        <w:tc>
          <w:tcPr>
            <w:tcW w:w="825" w:type="dxa"/>
            <w:shd w:val="clear" w:color="auto" w:fill="auto"/>
            <w:tcMar>
              <w:top w:w="100" w:type="dxa"/>
              <w:left w:w="100" w:type="dxa"/>
              <w:bottom w:w="100" w:type="dxa"/>
              <w:right w:w="100" w:type="dxa"/>
            </w:tcMar>
          </w:tcPr>
          <w:p w14:paraId="4BCB393D"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acrB</w:t>
            </w:r>
          </w:p>
        </w:tc>
        <w:tc>
          <w:tcPr>
            <w:tcW w:w="1695" w:type="dxa"/>
            <w:shd w:val="clear" w:color="auto" w:fill="auto"/>
            <w:tcMar>
              <w:top w:w="100" w:type="dxa"/>
              <w:left w:w="100" w:type="dxa"/>
              <w:bottom w:w="100" w:type="dxa"/>
              <w:right w:w="100" w:type="dxa"/>
            </w:tcMar>
          </w:tcPr>
          <w:p w14:paraId="4E5FBD57"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AAC73564.1</w:t>
            </w:r>
          </w:p>
        </w:tc>
        <w:tc>
          <w:tcPr>
            <w:tcW w:w="2160" w:type="dxa"/>
            <w:shd w:val="clear" w:color="auto" w:fill="auto"/>
            <w:tcMar>
              <w:top w:w="100" w:type="dxa"/>
              <w:left w:w="100" w:type="dxa"/>
              <w:bottom w:w="100" w:type="dxa"/>
              <w:right w:w="100" w:type="dxa"/>
            </w:tcMar>
          </w:tcPr>
          <w:p w14:paraId="49EF86D3"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multidrug efflux pump RND permease AcrB</w:t>
            </w:r>
          </w:p>
        </w:tc>
        <w:tc>
          <w:tcPr>
            <w:tcW w:w="1155" w:type="dxa"/>
            <w:shd w:val="clear" w:color="auto" w:fill="auto"/>
            <w:tcMar>
              <w:top w:w="100" w:type="dxa"/>
              <w:left w:w="100" w:type="dxa"/>
              <w:bottom w:w="100" w:type="dxa"/>
              <w:right w:w="100" w:type="dxa"/>
            </w:tcMar>
          </w:tcPr>
          <w:p w14:paraId="05142CCA"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482698</w:t>
            </w:r>
          </w:p>
        </w:tc>
        <w:tc>
          <w:tcPr>
            <w:tcW w:w="900" w:type="dxa"/>
            <w:shd w:val="clear" w:color="auto" w:fill="auto"/>
            <w:tcMar>
              <w:top w:w="100" w:type="dxa"/>
              <w:left w:w="100" w:type="dxa"/>
              <w:bottom w:w="100" w:type="dxa"/>
              <w:right w:w="100" w:type="dxa"/>
            </w:tcMar>
          </w:tcPr>
          <w:p w14:paraId="7206F694"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T → A</w:t>
            </w:r>
          </w:p>
        </w:tc>
        <w:tc>
          <w:tcPr>
            <w:tcW w:w="1800" w:type="dxa"/>
            <w:shd w:val="clear" w:color="auto" w:fill="auto"/>
            <w:tcMar>
              <w:top w:w="100" w:type="dxa"/>
              <w:left w:w="100" w:type="dxa"/>
              <w:bottom w:w="100" w:type="dxa"/>
              <w:right w:w="100" w:type="dxa"/>
            </w:tcMar>
          </w:tcPr>
          <w:p w14:paraId="102E8A9F"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CTG → CAG</w:t>
            </w:r>
          </w:p>
        </w:tc>
      </w:tr>
      <w:tr w:rsidR="00004F91" w14:paraId="2DCA6753" w14:textId="77777777">
        <w:tc>
          <w:tcPr>
            <w:tcW w:w="825" w:type="dxa"/>
            <w:shd w:val="clear" w:color="auto" w:fill="auto"/>
            <w:tcMar>
              <w:top w:w="100" w:type="dxa"/>
              <w:left w:w="100" w:type="dxa"/>
              <w:bottom w:w="100" w:type="dxa"/>
              <w:right w:w="100" w:type="dxa"/>
            </w:tcMar>
          </w:tcPr>
          <w:p w14:paraId="6CCDF86E"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rybA</w:t>
            </w:r>
          </w:p>
        </w:tc>
        <w:tc>
          <w:tcPr>
            <w:tcW w:w="1695" w:type="dxa"/>
            <w:shd w:val="clear" w:color="auto" w:fill="auto"/>
            <w:tcMar>
              <w:top w:w="100" w:type="dxa"/>
              <w:left w:w="100" w:type="dxa"/>
              <w:bottom w:w="100" w:type="dxa"/>
              <w:right w:w="100" w:type="dxa"/>
            </w:tcMar>
          </w:tcPr>
          <w:p w14:paraId="34C07DB0"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rna-b4416</w:t>
            </w:r>
          </w:p>
        </w:tc>
        <w:tc>
          <w:tcPr>
            <w:tcW w:w="2160" w:type="dxa"/>
            <w:shd w:val="clear" w:color="auto" w:fill="auto"/>
            <w:tcMar>
              <w:top w:w="100" w:type="dxa"/>
              <w:left w:w="100" w:type="dxa"/>
              <w:bottom w:w="100" w:type="dxa"/>
              <w:right w:w="100" w:type="dxa"/>
            </w:tcMar>
          </w:tcPr>
          <w:p w14:paraId="57A287CD"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small RNA RybA</w:t>
            </w:r>
          </w:p>
        </w:tc>
        <w:tc>
          <w:tcPr>
            <w:tcW w:w="1155" w:type="dxa"/>
            <w:shd w:val="clear" w:color="auto" w:fill="auto"/>
            <w:tcMar>
              <w:top w:w="100" w:type="dxa"/>
              <w:left w:w="100" w:type="dxa"/>
              <w:bottom w:w="100" w:type="dxa"/>
              <w:right w:w="100" w:type="dxa"/>
            </w:tcMar>
          </w:tcPr>
          <w:p w14:paraId="1140AC86"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852762</w:t>
            </w:r>
          </w:p>
        </w:tc>
        <w:tc>
          <w:tcPr>
            <w:tcW w:w="900" w:type="dxa"/>
            <w:shd w:val="clear" w:color="auto" w:fill="auto"/>
            <w:tcMar>
              <w:top w:w="100" w:type="dxa"/>
              <w:left w:w="100" w:type="dxa"/>
              <w:bottom w:w="100" w:type="dxa"/>
              <w:right w:w="100" w:type="dxa"/>
            </w:tcMar>
          </w:tcPr>
          <w:p w14:paraId="79275D7A"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A → G</w:t>
            </w:r>
          </w:p>
        </w:tc>
        <w:tc>
          <w:tcPr>
            <w:tcW w:w="1800" w:type="dxa"/>
            <w:shd w:val="clear" w:color="auto" w:fill="auto"/>
            <w:tcMar>
              <w:top w:w="100" w:type="dxa"/>
              <w:left w:w="100" w:type="dxa"/>
              <w:bottom w:w="100" w:type="dxa"/>
              <w:right w:w="100" w:type="dxa"/>
            </w:tcMar>
          </w:tcPr>
          <w:p w14:paraId="763A187D"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AAA → AGA</w:t>
            </w:r>
          </w:p>
        </w:tc>
      </w:tr>
      <w:tr w:rsidR="00004F91" w14:paraId="710F6540" w14:textId="77777777">
        <w:tc>
          <w:tcPr>
            <w:tcW w:w="825" w:type="dxa"/>
            <w:shd w:val="clear" w:color="auto" w:fill="auto"/>
            <w:tcMar>
              <w:top w:w="100" w:type="dxa"/>
              <w:left w:w="100" w:type="dxa"/>
              <w:bottom w:w="100" w:type="dxa"/>
              <w:right w:w="100" w:type="dxa"/>
            </w:tcMar>
          </w:tcPr>
          <w:p w14:paraId="48EAB4FE"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envZ</w:t>
            </w:r>
          </w:p>
        </w:tc>
        <w:tc>
          <w:tcPr>
            <w:tcW w:w="1695" w:type="dxa"/>
            <w:shd w:val="clear" w:color="auto" w:fill="auto"/>
            <w:tcMar>
              <w:top w:w="100" w:type="dxa"/>
              <w:left w:w="100" w:type="dxa"/>
              <w:bottom w:w="100" w:type="dxa"/>
              <w:right w:w="100" w:type="dxa"/>
            </w:tcMar>
          </w:tcPr>
          <w:p w14:paraId="6F2E45F1"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AAC76429.1</w:t>
            </w:r>
          </w:p>
        </w:tc>
        <w:tc>
          <w:tcPr>
            <w:tcW w:w="2160" w:type="dxa"/>
            <w:shd w:val="clear" w:color="auto" w:fill="auto"/>
            <w:tcMar>
              <w:top w:w="100" w:type="dxa"/>
              <w:left w:w="100" w:type="dxa"/>
              <w:bottom w:w="100" w:type="dxa"/>
              <w:right w:w="100" w:type="dxa"/>
            </w:tcMar>
          </w:tcPr>
          <w:p w14:paraId="5D3E2E4D"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sensory histidine kinase EnvZ</w:t>
            </w:r>
          </w:p>
        </w:tc>
        <w:tc>
          <w:tcPr>
            <w:tcW w:w="1155" w:type="dxa"/>
            <w:shd w:val="clear" w:color="auto" w:fill="auto"/>
            <w:tcMar>
              <w:top w:w="100" w:type="dxa"/>
              <w:left w:w="100" w:type="dxa"/>
              <w:bottom w:w="100" w:type="dxa"/>
              <w:right w:w="100" w:type="dxa"/>
            </w:tcMar>
          </w:tcPr>
          <w:p w14:paraId="358334A3"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3535147</w:t>
            </w:r>
          </w:p>
        </w:tc>
        <w:tc>
          <w:tcPr>
            <w:tcW w:w="900" w:type="dxa"/>
            <w:shd w:val="clear" w:color="auto" w:fill="auto"/>
            <w:tcMar>
              <w:top w:w="100" w:type="dxa"/>
              <w:left w:w="100" w:type="dxa"/>
              <w:bottom w:w="100" w:type="dxa"/>
              <w:right w:w="100" w:type="dxa"/>
            </w:tcMar>
          </w:tcPr>
          <w:p w14:paraId="058723F1"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A → C</w:t>
            </w:r>
          </w:p>
        </w:tc>
        <w:tc>
          <w:tcPr>
            <w:tcW w:w="1800" w:type="dxa"/>
            <w:shd w:val="clear" w:color="auto" w:fill="auto"/>
            <w:tcMar>
              <w:top w:w="100" w:type="dxa"/>
              <w:left w:w="100" w:type="dxa"/>
              <w:bottom w:w="100" w:type="dxa"/>
              <w:right w:w="100" w:type="dxa"/>
            </w:tcMar>
          </w:tcPr>
          <w:p w14:paraId="2C7A760C"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TAC → TCC</w:t>
            </w:r>
          </w:p>
        </w:tc>
      </w:tr>
      <w:tr w:rsidR="00004F91" w14:paraId="653EE39F" w14:textId="77777777">
        <w:tc>
          <w:tcPr>
            <w:tcW w:w="825" w:type="dxa"/>
            <w:shd w:val="clear" w:color="auto" w:fill="auto"/>
            <w:tcMar>
              <w:top w:w="100" w:type="dxa"/>
              <w:left w:w="100" w:type="dxa"/>
              <w:bottom w:w="100" w:type="dxa"/>
              <w:right w:w="100" w:type="dxa"/>
            </w:tcMar>
          </w:tcPr>
          <w:p w14:paraId="76AC3F9C"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rsgA</w:t>
            </w:r>
          </w:p>
        </w:tc>
        <w:tc>
          <w:tcPr>
            <w:tcW w:w="1695" w:type="dxa"/>
            <w:shd w:val="clear" w:color="auto" w:fill="auto"/>
            <w:tcMar>
              <w:top w:w="100" w:type="dxa"/>
              <w:left w:w="100" w:type="dxa"/>
              <w:bottom w:w="100" w:type="dxa"/>
              <w:right w:w="100" w:type="dxa"/>
            </w:tcMar>
          </w:tcPr>
          <w:p w14:paraId="49112B26"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AAC77121.2</w:t>
            </w:r>
          </w:p>
        </w:tc>
        <w:tc>
          <w:tcPr>
            <w:tcW w:w="2160" w:type="dxa"/>
            <w:shd w:val="clear" w:color="auto" w:fill="auto"/>
            <w:tcMar>
              <w:top w:w="100" w:type="dxa"/>
              <w:left w:w="100" w:type="dxa"/>
              <w:bottom w:w="100" w:type="dxa"/>
              <w:right w:w="100" w:type="dxa"/>
            </w:tcMar>
          </w:tcPr>
          <w:p w14:paraId="32B124CD" w14:textId="77777777" w:rsidR="00004F91" w:rsidRDefault="009864C5">
            <w:pPr>
              <w:pStyle w:val="4"/>
              <w:keepNext w:val="0"/>
              <w:keepLines w:val="0"/>
              <w:widowControl w:val="0"/>
              <w:spacing w:before="0" w:after="40"/>
              <w:jc w:val="center"/>
              <w:rPr>
                <w:sz w:val="20"/>
                <w:szCs w:val="20"/>
              </w:rPr>
            </w:pPr>
            <w:bookmarkStart w:id="0" w:name="_imczcxwe0w1k" w:colFirst="0" w:colLast="0"/>
            <w:bookmarkEnd w:id="0"/>
            <w:r>
              <w:rPr>
                <w:color w:val="000000"/>
                <w:sz w:val="20"/>
                <w:szCs w:val="20"/>
              </w:rPr>
              <w:t>ribosome small subunit-dependent GTPase A</w:t>
            </w:r>
          </w:p>
        </w:tc>
        <w:tc>
          <w:tcPr>
            <w:tcW w:w="1155" w:type="dxa"/>
            <w:shd w:val="clear" w:color="auto" w:fill="auto"/>
            <w:tcMar>
              <w:top w:w="100" w:type="dxa"/>
              <w:left w:w="100" w:type="dxa"/>
              <w:bottom w:w="100" w:type="dxa"/>
              <w:right w:w="100" w:type="dxa"/>
            </w:tcMar>
          </w:tcPr>
          <w:p w14:paraId="50DD97B3"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sz w:val="20"/>
                <w:szCs w:val="20"/>
              </w:rPr>
              <w:t>4390754</w:t>
            </w:r>
          </w:p>
        </w:tc>
        <w:tc>
          <w:tcPr>
            <w:tcW w:w="900" w:type="dxa"/>
            <w:shd w:val="clear" w:color="auto" w:fill="auto"/>
            <w:tcMar>
              <w:top w:w="100" w:type="dxa"/>
              <w:left w:w="100" w:type="dxa"/>
              <w:bottom w:w="100" w:type="dxa"/>
              <w:right w:w="100" w:type="dxa"/>
            </w:tcMar>
          </w:tcPr>
          <w:p w14:paraId="601195F4"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G → T</w:t>
            </w:r>
          </w:p>
        </w:tc>
        <w:tc>
          <w:tcPr>
            <w:tcW w:w="1800" w:type="dxa"/>
            <w:shd w:val="clear" w:color="auto" w:fill="auto"/>
            <w:tcMar>
              <w:top w:w="100" w:type="dxa"/>
              <w:left w:w="100" w:type="dxa"/>
              <w:bottom w:w="100" w:type="dxa"/>
              <w:right w:w="100" w:type="dxa"/>
            </w:tcMar>
          </w:tcPr>
          <w:p w14:paraId="1DB28902" w14:textId="77777777" w:rsidR="00004F91" w:rsidRDefault="009864C5">
            <w:pPr>
              <w:pStyle w:val="normal"/>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CGG → CTG</w:t>
            </w:r>
          </w:p>
        </w:tc>
      </w:tr>
    </w:tbl>
    <w:p w14:paraId="38AF390F" w14:textId="77777777" w:rsidR="00004F91" w:rsidRDefault="00004F91">
      <w:pPr>
        <w:pStyle w:val="normal"/>
        <w:jc w:val="both"/>
        <w:rPr>
          <w:b/>
        </w:rPr>
      </w:pPr>
    </w:p>
    <w:p w14:paraId="352CB650" w14:textId="77777777" w:rsidR="00004F91" w:rsidRDefault="009864C5">
      <w:pPr>
        <w:pStyle w:val="normal"/>
        <w:jc w:val="both"/>
        <w:rPr>
          <w:b/>
        </w:rPr>
      </w:pPr>
      <w:r>
        <w:rPr>
          <w:b/>
        </w:rPr>
        <w:t>Discussion</w:t>
      </w:r>
    </w:p>
    <w:p w14:paraId="0F5AE7F1" w14:textId="77777777" w:rsidR="00004F91" w:rsidRDefault="009864C5">
      <w:pPr>
        <w:pStyle w:val="normal"/>
        <w:jc w:val="both"/>
        <w:rPr>
          <w:color w:val="222222"/>
        </w:rPr>
      </w:pPr>
      <w:r>
        <w:t xml:space="preserve">One of the SNPs was present in </w:t>
      </w:r>
      <w:r>
        <w:rPr>
          <w:i/>
        </w:rPr>
        <w:t>rsgA</w:t>
      </w:r>
      <w:r>
        <w:t xml:space="preserve"> gene. RsgA is involved in the process of proper folding of the small subunit of the ribosome during its maturation processes and at some stages of translation [2]. Therefore, mutations in the protein itself can affect the further processes of protein synt</w:t>
      </w:r>
      <w:r>
        <w:t>hesis. Most likely this SNP is a sequencing error. Other SNP was occurred in Small RNA, regulated key-genes in the biosynthesis of aromatic amino acids under peroxide stress in</w:t>
      </w:r>
      <w:r>
        <w:rPr>
          <w:i/>
        </w:rPr>
        <w:t xml:space="preserve"> E. coli</w:t>
      </w:r>
      <w:r>
        <w:t xml:space="preserve"> [3]</w:t>
      </w:r>
      <w:r>
        <w:rPr>
          <w:i/>
        </w:rPr>
        <w:t xml:space="preserve">. </w:t>
      </w:r>
      <w:r>
        <w:t>Like the previous SNP is most likely a sequencing error.</w:t>
      </w:r>
      <w:r>
        <w:rPr>
          <w:highlight w:val="white"/>
        </w:rPr>
        <w:t xml:space="preserve"> </w:t>
      </w:r>
      <w:r>
        <w:t>Another S</w:t>
      </w:r>
      <w:r>
        <w:t xml:space="preserve">NP was placed in peptidoglycan DD-transpeptidase </w:t>
      </w:r>
      <w:r>
        <w:rPr>
          <w:i/>
        </w:rPr>
        <w:t>ftsI</w:t>
      </w:r>
      <w:r>
        <w:t xml:space="preserve"> gene. This protein is responsible for last stage of bacterial cell wall building. Also it belongs to PBP (Penicillin-binding proteins) family. This protein is a target for penicillin interaction [4]. An</w:t>
      </w:r>
      <w:r>
        <w:t xml:space="preserve">tibiotics have similar structure to peptidoglycan which is the most important component of bacterial cell wall. It is the reason why DD-transpeptidase interacts with antibiotic. Also we identified SNP placed in </w:t>
      </w:r>
      <w:r>
        <w:rPr>
          <w:i/>
        </w:rPr>
        <w:t>acrB</w:t>
      </w:r>
      <w:r>
        <w:t xml:space="preserve"> multidrug efflux pump gene. This protein</w:t>
      </w:r>
      <w:r>
        <w:t xml:space="preserve"> is responsible for active transport of different molecules outside the cell. Thus antibiotics such as ampicillin could be pumped out of bacteria [5]. Mutation in gene sequence could lead to changes in interaction site of transport protein. So bacterial ce</w:t>
      </w:r>
      <w:r>
        <w:t>ll becomes able to replace antibiotic molecules effectively. SNP in sensory histidine kinase gene is related to two component regulatory system [6]. These proteins play role in signal transmotion. It could be involved in expressing regulatory mechanism suc</w:t>
      </w:r>
      <w:r>
        <w:t xml:space="preserve">h as overexpressing of efflux pump. So mutation in this gene could be the reason antibiotic removing become more intensive. </w:t>
      </w:r>
      <w:r>
        <w:rPr>
          <w:color w:val="222222"/>
        </w:rPr>
        <w:t>It is assumed that all three mutations in proteins may cause ampicillin resistance.</w:t>
      </w:r>
    </w:p>
    <w:p w14:paraId="2D80C9F7" w14:textId="77777777" w:rsidR="00004F91" w:rsidRPr="009864C5" w:rsidRDefault="009864C5">
      <w:pPr>
        <w:pStyle w:val="normal"/>
        <w:jc w:val="both"/>
      </w:pPr>
      <w:r>
        <w:rPr>
          <w:color w:val="303030"/>
          <w:highlight w:val="white"/>
        </w:rPr>
        <w:t xml:space="preserve"> </w:t>
      </w:r>
      <w:bookmarkStart w:id="1" w:name="_GoBack"/>
      <w:bookmarkEnd w:id="1"/>
    </w:p>
    <w:p w14:paraId="40D0D229" w14:textId="77777777" w:rsidR="00004F91" w:rsidRDefault="009864C5">
      <w:pPr>
        <w:pStyle w:val="normal"/>
        <w:jc w:val="both"/>
        <w:rPr>
          <w:b/>
        </w:rPr>
      </w:pPr>
      <w:r>
        <w:rPr>
          <w:b/>
        </w:rPr>
        <w:t>References</w:t>
      </w:r>
    </w:p>
    <w:p w14:paraId="261B4909" w14:textId="77777777" w:rsidR="00004F91" w:rsidRDefault="009864C5">
      <w:pPr>
        <w:pStyle w:val="normal"/>
        <w:numPr>
          <w:ilvl w:val="0"/>
          <w:numId w:val="2"/>
        </w:numPr>
        <w:jc w:val="both"/>
        <w:rPr>
          <w:b/>
        </w:rPr>
      </w:pPr>
      <w:r>
        <w:rPr>
          <w:highlight w:val="white"/>
        </w:rPr>
        <w:t xml:space="preserve">Li M, Liu Q, Teng Y, et al. The resistance mechanism of </w:t>
      </w:r>
      <w:r>
        <w:rPr>
          <w:i/>
          <w:highlight w:val="white"/>
        </w:rPr>
        <w:t xml:space="preserve">Escherichia coli </w:t>
      </w:r>
      <w:r>
        <w:rPr>
          <w:highlight w:val="white"/>
        </w:rPr>
        <w:t xml:space="preserve">induced by ampicillin in laboratory. </w:t>
      </w:r>
      <w:r>
        <w:rPr>
          <w:i/>
          <w:highlight w:val="white"/>
        </w:rPr>
        <w:t>Infect Drug Resist</w:t>
      </w:r>
      <w:r>
        <w:rPr>
          <w:highlight w:val="white"/>
        </w:rPr>
        <w:t>. 2019;12:2853–2863. Published 2019 Sep 11. doi:10.2147/IDR.S221212</w:t>
      </w:r>
    </w:p>
    <w:p w14:paraId="7FCDA573" w14:textId="77777777" w:rsidR="00004F91" w:rsidRDefault="009864C5">
      <w:pPr>
        <w:pStyle w:val="normal"/>
        <w:numPr>
          <w:ilvl w:val="0"/>
          <w:numId w:val="2"/>
        </w:numPr>
        <w:jc w:val="both"/>
        <w:rPr>
          <w:b/>
        </w:rPr>
      </w:pPr>
      <w:r>
        <w:rPr>
          <w:highlight w:val="white"/>
        </w:rPr>
        <w:t xml:space="preserve">Hase Y, Yokoyama S, Muto A, Himeno H. Removal of a ribosome </w:t>
      </w:r>
      <w:r>
        <w:rPr>
          <w:highlight w:val="white"/>
        </w:rPr>
        <w:t xml:space="preserve">small subunit-dependent GTPase confers salt resistance on Escherichia coli cells. </w:t>
      </w:r>
      <w:r>
        <w:rPr>
          <w:i/>
        </w:rPr>
        <w:t>RNA</w:t>
      </w:r>
      <w:r>
        <w:rPr>
          <w:highlight w:val="white"/>
        </w:rPr>
        <w:t>. 2009; 15(9):1766–1774. doi:10.1261/rna.1687309</w:t>
      </w:r>
    </w:p>
    <w:p w14:paraId="0F511C0D" w14:textId="77777777" w:rsidR="00004F91" w:rsidRDefault="009864C5">
      <w:pPr>
        <w:pStyle w:val="normal"/>
        <w:numPr>
          <w:ilvl w:val="0"/>
          <w:numId w:val="2"/>
        </w:numPr>
        <w:jc w:val="both"/>
        <w:rPr>
          <w:b/>
        </w:rPr>
      </w:pPr>
      <w:r>
        <w:rPr>
          <w:color w:val="222222"/>
          <w:highlight w:val="white"/>
        </w:rPr>
        <w:t>Gerstle K. et al. The small RNA RybA regulates key-genes in the biosynthesis of aromatic amino acids under peroxide stress</w:t>
      </w:r>
      <w:r>
        <w:rPr>
          <w:color w:val="222222"/>
          <w:highlight w:val="white"/>
        </w:rPr>
        <w:t xml:space="preserve"> in E. coli //RNA biology. – 2012. – Т. 9. – №. 4. – С. 458-468.</w:t>
      </w:r>
    </w:p>
    <w:p w14:paraId="35ADC829" w14:textId="77777777" w:rsidR="00004F91" w:rsidRDefault="009864C5">
      <w:pPr>
        <w:pStyle w:val="normal"/>
        <w:numPr>
          <w:ilvl w:val="0"/>
          <w:numId w:val="2"/>
        </w:numPr>
        <w:jc w:val="both"/>
        <w:rPr>
          <w:b/>
        </w:rPr>
      </w:pPr>
      <w:r>
        <w:lastRenderedPageBreak/>
        <w:t>Yocum RR, Waxman DJ, Rasmussen JR, Strominger JL (1979). "Mechanism of penicillin action: penicillin and substrate bind covalently to the same active site serine in two bacterial D-alanine ca</w:t>
      </w:r>
      <w:r>
        <w:t>rboxypeptidases". Proc Natl Acad Sci USA. 76: 2730–4. doi:10.1073/pnas.76.6.2730. PMC 383682. PMID 111240</w:t>
      </w:r>
    </w:p>
    <w:p w14:paraId="66E49187" w14:textId="77777777" w:rsidR="00004F91" w:rsidRDefault="009864C5">
      <w:pPr>
        <w:pStyle w:val="normal"/>
        <w:numPr>
          <w:ilvl w:val="0"/>
          <w:numId w:val="2"/>
        </w:numPr>
        <w:jc w:val="both"/>
        <w:rPr>
          <w:b/>
        </w:rPr>
      </w:pPr>
      <w:r>
        <w:t xml:space="preserve">Pos, K. M. (2009). </w:t>
      </w:r>
      <w:r>
        <w:rPr>
          <w:i/>
        </w:rPr>
        <w:t>Drug transport mechanism of the AcrB efflux pump. Biochimica et Biophysica Acta (BBA) - Proteins and Proteomics, 1794(5), 782–793.</w:t>
      </w:r>
      <w:r>
        <w:t xml:space="preserve"> </w:t>
      </w:r>
      <w:r>
        <w:t>doi:10.1016/j.bbapap.2008.12.015</w:t>
      </w:r>
    </w:p>
    <w:p w14:paraId="69AFD091" w14:textId="77777777" w:rsidR="00004F91" w:rsidRDefault="009864C5">
      <w:pPr>
        <w:pStyle w:val="normal"/>
        <w:numPr>
          <w:ilvl w:val="0"/>
          <w:numId w:val="2"/>
        </w:numPr>
        <w:jc w:val="both"/>
      </w:pPr>
      <w:r>
        <w:t>Bhagirath A. Y. et al. Two component regulatory systems and antibiotic resistance in Gram-negative pathogens // International journal of molecular sciences. – 2019. – Т. 20. – №. 7. – С. 1781.</w:t>
      </w:r>
    </w:p>
    <w:sectPr w:rsidR="00004F91">
      <w:pgSz w:w="11909" w:h="16834"/>
      <w:pgMar w:top="708" w:right="1440" w:bottom="68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CY">
    <w:panose1 w:val="020B0600040502020204"/>
    <w:charset w:val="00"/>
    <w:family w:val="roman"/>
    <w:notTrueType/>
    <w:pitch w:val="default"/>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6733"/>
    <w:multiLevelType w:val="multilevel"/>
    <w:tmpl w:val="A802FF7A"/>
    <w:lvl w:ilvl="0">
      <w:start w:val="1"/>
      <w:numFmt w:val="decimal"/>
      <w:lvlText w:val="%1."/>
      <w:lvlJc w:val="left"/>
      <w:pPr>
        <w:ind w:left="0" w:firstLine="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ADE5289"/>
    <w:multiLevelType w:val="multilevel"/>
    <w:tmpl w:val="3B823A7C"/>
    <w:lvl w:ilvl="0">
      <w:start w:val="1"/>
      <w:numFmt w:val="decimal"/>
      <w:lvlText w:val="%1."/>
      <w:lvlJc w:val="left"/>
      <w:pPr>
        <w:ind w:left="850" w:hanging="85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
  <w:rsids>
    <w:rsidRoot w:val="00004F91"/>
    <w:rsid w:val="00004F91"/>
    <w:rsid w:val="009864C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1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9864C5"/>
    <w:pPr>
      <w:spacing w:line="240" w:lineRule="auto"/>
    </w:pPr>
    <w:rPr>
      <w:rFonts w:ascii="Lucida Grande CY" w:hAnsi="Lucida Grande CY"/>
      <w:sz w:val="18"/>
      <w:szCs w:val="18"/>
    </w:rPr>
  </w:style>
  <w:style w:type="character" w:customStyle="1" w:styleId="a7">
    <w:name w:val="Текст выноски Знак"/>
    <w:basedOn w:val="a0"/>
    <w:link w:val="a6"/>
    <w:uiPriority w:val="99"/>
    <w:semiHidden/>
    <w:rsid w:val="009864C5"/>
    <w:rPr>
      <w:rFonts w:ascii="Lucida Grande CY" w:hAnsi="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9864C5"/>
    <w:pPr>
      <w:spacing w:line="240" w:lineRule="auto"/>
    </w:pPr>
    <w:rPr>
      <w:rFonts w:ascii="Lucida Grande CY" w:hAnsi="Lucida Grande CY"/>
      <w:sz w:val="18"/>
      <w:szCs w:val="18"/>
    </w:rPr>
  </w:style>
  <w:style w:type="character" w:customStyle="1" w:styleId="a7">
    <w:name w:val="Текст выноски Знак"/>
    <w:basedOn w:val="a0"/>
    <w:link w:val="a6"/>
    <w:uiPriority w:val="99"/>
    <w:semiHidden/>
    <w:rsid w:val="009864C5"/>
    <w:rPr>
      <w:rFonts w:ascii="Lucida Grande CY" w:hAnsi="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5347</Characters>
  <Application>Microsoft Macintosh Word</Application>
  <DocSecurity>0</DocSecurity>
  <Lines>44</Lines>
  <Paragraphs>12</Paragraphs>
  <ScaleCrop>false</ScaleCrop>
  <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Lolita</cp:lastModifiedBy>
  <cp:revision>2</cp:revision>
  <dcterms:created xsi:type="dcterms:W3CDTF">2019-10-25T12:49:00Z</dcterms:created>
  <dcterms:modified xsi:type="dcterms:W3CDTF">2019-10-25T12:49:00Z</dcterms:modified>
</cp:coreProperties>
</file>