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9E0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Ecco come ti aiuterei a partire velocemente con ricerche di qualità e con un’idea chiara dell’architettura ibrida e dell’analisi comparativa per la tesi.</w:t>
      </w:r>
    </w:p>
    <w:p w14:paraId="53D078C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7FB68A7C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Sezione 1 — Prompt efficaci per </w:t>
      </w:r>
      <w:proofErr w:type="spellStart"/>
      <w:r w:rsidRPr="002C55C6">
        <w:rPr>
          <w:rFonts w:ascii="Arial" w:hAnsi="Arial" w:cs="Arial"/>
          <w:sz w:val="20"/>
          <w:szCs w:val="20"/>
        </w:rPr>
        <w:t>Perplexity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(copiabili)</w:t>
      </w:r>
    </w:p>
    <w:p w14:paraId="18EBC497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Suggerimento: usa questi prompt uno alla volta. Sono pensati per farti ottenere fonti autorevoli (standard, specifiche ufficiali, articoli accademici, </w:t>
      </w:r>
      <w:proofErr w:type="spellStart"/>
      <w:r w:rsidRPr="002C55C6">
        <w:rPr>
          <w:rFonts w:ascii="Arial" w:hAnsi="Arial" w:cs="Arial"/>
          <w:sz w:val="20"/>
          <w:szCs w:val="20"/>
        </w:rPr>
        <w:t>whitepaper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seri) e per farti restituire risultati documentati e citati.</w:t>
      </w:r>
    </w:p>
    <w:p w14:paraId="27E18CF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12EA2E8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Prompt generale (panoramica comparativa)</w:t>
      </w:r>
    </w:p>
    <w:p w14:paraId="3D07FDD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Obiettivo: mappa delle fonti per la tesi.</w:t>
      </w:r>
    </w:p>
    <w:p w14:paraId="76A1B9D4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"Ricerca fonti affidabili (standard ufficiali, specifiche, RFC, documentazione ufficiale, articoli accademici con DOI, </w:t>
      </w:r>
      <w:proofErr w:type="spellStart"/>
      <w:r w:rsidRPr="002C55C6">
        <w:rPr>
          <w:rFonts w:ascii="Arial" w:hAnsi="Arial" w:cs="Arial"/>
          <w:sz w:val="20"/>
          <w:szCs w:val="20"/>
        </w:rPr>
        <w:t>whitepaper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riconosciuti) che confrontino modelli di comunicazione per applicazioni moderne: REST,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Model </w:t>
      </w:r>
      <w:proofErr w:type="spellStart"/>
      <w:r w:rsidRPr="002C55C6">
        <w:rPr>
          <w:rFonts w:ascii="Arial" w:hAnsi="Arial" w:cs="Arial"/>
          <w:sz w:val="20"/>
          <w:szCs w:val="20"/>
        </w:rPr>
        <w:t>Context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</w:rPr>
        <w:t>Protocol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(MCP). Includi:</w:t>
      </w:r>
    </w:p>
    <w:p w14:paraId="3562F7F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Standard e specifiche: IETF RFC 6455 (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), RFC 9110-9114 (HTTP/1.1-3), </w:t>
      </w:r>
      <w:proofErr w:type="spellStart"/>
      <w:r w:rsidRPr="002C55C6">
        <w:rPr>
          <w:rFonts w:ascii="Arial" w:hAnsi="Arial" w:cs="Arial"/>
          <w:sz w:val="20"/>
          <w:szCs w:val="20"/>
        </w:rPr>
        <w:t>OpenAPI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Swagger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2C55C6">
        <w:rPr>
          <w:rFonts w:ascii="Arial" w:hAnsi="Arial" w:cs="Arial"/>
          <w:sz w:val="20"/>
          <w:szCs w:val="20"/>
        </w:rPr>
        <w:t>spec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ufficiale), documentazione ufficiale MCP (</w:t>
      </w:r>
      <w:proofErr w:type="spellStart"/>
      <w:r w:rsidRPr="002C55C6">
        <w:rPr>
          <w:rFonts w:ascii="Arial" w:hAnsi="Arial" w:cs="Arial"/>
          <w:sz w:val="20"/>
          <w:szCs w:val="20"/>
        </w:rPr>
        <w:t>Anthropic</w:t>
      </w:r>
      <w:proofErr w:type="spellEnd"/>
      <w:r w:rsidRPr="002C55C6">
        <w:rPr>
          <w:rFonts w:ascii="Arial" w:hAnsi="Arial" w:cs="Arial"/>
          <w:sz w:val="20"/>
          <w:szCs w:val="20"/>
        </w:rPr>
        <w:t>).</w:t>
      </w:r>
    </w:p>
    <w:p w14:paraId="30CFCBF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Studi comparativi e benchmark (post-2020), soprattutto su prestazioni, latenza p50/p95/p99, throughput, </w:t>
      </w:r>
      <w:proofErr w:type="spellStart"/>
      <w:r w:rsidRPr="002C55C6">
        <w:rPr>
          <w:rFonts w:ascii="Arial" w:hAnsi="Arial" w:cs="Arial"/>
          <w:sz w:val="20"/>
          <w:szCs w:val="20"/>
        </w:rPr>
        <w:t>overfetching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underfetching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cacheabilità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versioning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sicurezza (OAuth2/OIDC, CORS, CSRF, rate </w:t>
      </w:r>
      <w:proofErr w:type="spellStart"/>
      <w:r w:rsidRPr="002C55C6">
        <w:rPr>
          <w:rFonts w:ascii="Arial" w:hAnsi="Arial" w:cs="Arial"/>
          <w:sz w:val="20"/>
          <w:szCs w:val="20"/>
        </w:rPr>
        <w:t>limiting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authz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granulari), osservabilità (</w:t>
      </w:r>
      <w:proofErr w:type="spellStart"/>
      <w:r w:rsidRPr="002C55C6">
        <w:rPr>
          <w:rFonts w:ascii="Arial" w:hAnsi="Arial" w:cs="Arial"/>
          <w:sz w:val="20"/>
          <w:szCs w:val="20"/>
        </w:rPr>
        <w:t>OpenTelemetry</w:t>
      </w:r>
      <w:proofErr w:type="spellEnd"/>
      <w:r w:rsidRPr="002C55C6">
        <w:rPr>
          <w:rFonts w:ascii="Arial" w:hAnsi="Arial" w:cs="Arial"/>
          <w:sz w:val="20"/>
          <w:szCs w:val="20"/>
        </w:rPr>
        <w:t>).</w:t>
      </w:r>
    </w:p>
    <w:p w14:paraId="2ED0D1F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Pattern architetturali ibridi (BFF, CQRS, event-</w:t>
      </w:r>
      <w:proofErr w:type="spellStart"/>
      <w:r w:rsidRPr="002C55C6">
        <w:rPr>
          <w:rFonts w:ascii="Arial" w:hAnsi="Arial" w:cs="Arial"/>
          <w:sz w:val="20"/>
          <w:szCs w:val="20"/>
        </w:rPr>
        <w:t>driven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+ gateway): quando usare REST, quando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quando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>, e come posizionare MCP.</w:t>
      </w:r>
    </w:p>
    <w:p w14:paraId="1C14E281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Case study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industriali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o open-source.</w:t>
      </w:r>
    </w:p>
    <w:p w14:paraId="6842318C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Per ogni fonte: autore/ente, anno, link, tipo (RFC/</w:t>
      </w:r>
      <w:proofErr w:type="spellStart"/>
      <w:r w:rsidRPr="002C55C6">
        <w:rPr>
          <w:rFonts w:ascii="Arial" w:hAnsi="Arial" w:cs="Arial"/>
          <w:sz w:val="20"/>
          <w:szCs w:val="20"/>
        </w:rPr>
        <w:t>spec</w:t>
      </w:r>
      <w:proofErr w:type="spellEnd"/>
      <w:r w:rsidRPr="002C55C6">
        <w:rPr>
          <w:rFonts w:ascii="Arial" w:hAnsi="Arial" w:cs="Arial"/>
          <w:sz w:val="20"/>
          <w:szCs w:val="20"/>
        </w:rPr>
        <w:t>/accademico/doc ufficiale/</w:t>
      </w:r>
      <w:proofErr w:type="spellStart"/>
      <w:r w:rsidRPr="002C55C6">
        <w:rPr>
          <w:rFonts w:ascii="Arial" w:hAnsi="Arial" w:cs="Arial"/>
          <w:sz w:val="20"/>
          <w:szCs w:val="20"/>
        </w:rPr>
        <w:t>whitepaper</w:t>
      </w:r>
      <w:proofErr w:type="spellEnd"/>
      <w:r w:rsidRPr="002C55C6">
        <w:rPr>
          <w:rFonts w:ascii="Arial" w:hAnsi="Arial" w:cs="Arial"/>
          <w:sz w:val="20"/>
          <w:szCs w:val="20"/>
        </w:rPr>
        <w:t>), 3-5 takeaway, livello di affidabilità. Evita blog promozionali superficiali."</w:t>
      </w:r>
    </w:p>
    <w:p w14:paraId="4E73BB06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48DAB5F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Prompt per REST (fondamenti, best practice, pro/contro)</w:t>
      </w:r>
    </w:p>
    <w:p w14:paraId="09847877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"Cerca documentazione ufficiale e fonti accademiche su REST moderno: principi HATEOAS, </w:t>
      </w:r>
      <w:proofErr w:type="spellStart"/>
      <w:r w:rsidRPr="002C55C6">
        <w:rPr>
          <w:rFonts w:ascii="Arial" w:hAnsi="Arial" w:cs="Arial"/>
          <w:sz w:val="20"/>
          <w:szCs w:val="20"/>
        </w:rPr>
        <w:t>OpenAPI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versioning</w:t>
      </w:r>
      <w:proofErr w:type="spellEnd"/>
      <w:r w:rsidRPr="002C55C6">
        <w:rPr>
          <w:rFonts w:ascii="Arial" w:hAnsi="Arial" w:cs="Arial"/>
          <w:sz w:val="20"/>
          <w:szCs w:val="20"/>
        </w:rPr>
        <w:t>, cache, idempotenza, sicurezza (OAuth2/OIDC), limiti noti (</w:t>
      </w:r>
      <w:proofErr w:type="spellStart"/>
      <w:r w:rsidRPr="002C55C6">
        <w:rPr>
          <w:rFonts w:ascii="Arial" w:hAnsi="Arial" w:cs="Arial"/>
          <w:sz w:val="20"/>
          <w:szCs w:val="20"/>
        </w:rPr>
        <w:t>overfetching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underfetching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), e confronti con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in scenari reali. Includi RFC/standard HTTP/1.1-3, guide di stile riconosciute (ad es. Microsoft REST </w:t>
      </w:r>
      <w:proofErr w:type="spellStart"/>
      <w:r w:rsidRPr="002C55C6">
        <w:rPr>
          <w:rFonts w:ascii="Arial" w:hAnsi="Arial" w:cs="Arial"/>
          <w:sz w:val="20"/>
          <w:szCs w:val="20"/>
        </w:rPr>
        <w:t>Guidelines</w:t>
      </w:r>
      <w:proofErr w:type="spellEnd"/>
      <w:r w:rsidRPr="002C55C6">
        <w:rPr>
          <w:rFonts w:ascii="Arial" w:hAnsi="Arial" w:cs="Arial"/>
          <w:sz w:val="20"/>
          <w:szCs w:val="20"/>
        </w:rPr>
        <w:t>), studi post-2020. Riporta takeaway e criticità con citazioni."</w:t>
      </w:r>
    </w:p>
    <w:p w14:paraId="3A0E20A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4B06B18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Prompt per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2C55C6">
        <w:rPr>
          <w:rFonts w:ascii="Arial" w:hAnsi="Arial" w:cs="Arial"/>
          <w:sz w:val="20"/>
          <w:szCs w:val="20"/>
        </w:rPr>
        <w:t>spec</w:t>
      </w:r>
      <w:proofErr w:type="spellEnd"/>
      <w:r w:rsidRPr="002C55C6">
        <w:rPr>
          <w:rFonts w:ascii="Arial" w:hAnsi="Arial" w:cs="Arial"/>
          <w:sz w:val="20"/>
          <w:szCs w:val="20"/>
        </w:rPr>
        <w:t>, performance, caching, sicurezza)</w:t>
      </w:r>
    </w:p>
    <w:p w14:paraId="5AD6721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"Trova fonti autorevoli su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>: specifica ufficiale, documentazione di riferimento (Apollo/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Foundation), studi comparativi su performance (n+1, </w:t>
      </w:r>
      <w:proofErr w:type="spellStart"/>
      <w:r w:rsidRPr="002C55C6">
        <w:rPr>
          <w:rFonts w:ascii="Arial" w:hAnsi="Arial" w:cs="Arial"/>
          <w:sz w:val="20"/>
          <w:szCs w:val="20"/>
        </w:rPr>
        <w:t>batching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persisted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queries, cost </w:t>
      </w:r>
      <w:proofErr w:type="spellStart"/>
      <w:r w:rsidRPr="002C55C6">
        <w:rPr>
          <w:rFonts w:ascii="Arial" w:hAnsi="Arial" w:cs="Arial"/>
          <w:sz w:val="20"/>
          <w:szCs w:val="20"/>
        </w:rPr>
        <w:t>analysis</w:t>
      </w:r>
      <w:proofErr w:type="spellEnd"/>
      <w:r w:rsidRPr="002C55C6">
        <w:rPr>
          <w:rFonts w:ascii="Arial" w:hAnsi="Arial" w:cs="Arial"/>
          <w:sz w:val="20"/>
          <w:szCs w:val="20"/>
        </w:rPr>
        <w:t>), caching (CDN/</w:t>
      </w:r>
      <w:proofErr w:type="spellStart"/>
      <w:r w:rsidRPr="002C55C6">
        <w:rPr>
          <w:rFonts w:ascii="Arial" w:hAnsi="Arial" w:cs="Arial"/>
          <w:sz w:val="20"/>
          <w:szCs w:val="20"/>
        </w:rPr>
        <w:t>edge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schema design), controllo di complessità/rate </w:t>
      </w:r>
      <w:proofErr w:type="spellStart"/>
      <w:r w:rsidRPr="002C55C6">
        <w:rPr>
          <w:rFonts w:ascii="Arial" w:hAnsi="Arial" w:cs="Arial"/>
          <w:sz w:val="20"/>
          <w:szCs w:val="20"/>
        </w:rPr>
        <w:t>limiting</w:t>
      </w:r>
      <w:proofErr w:type="spellEnd"/>
      <w:r w:rsidRPr="002C55C6">
        <w:rPr>
          <w:rFonts w:ascii="Arial" w:hAnsi="Arial" w:cs="Arial"/>
          <w:sz w:val="20"/>
          <w:szCs w:val="20"/>
        </w:rPr>
        <w:t>, sicurezza (</w:t>
      </w:r>
      <w:proofErr w:type="spellStart"/>
      <w:r w:rsidRPr="002C55C6">
        <w:rPr>
          <w:rFonts w:ascii="Arial" w:hAnsi="Arial" w:cs="Arial"/>
          <w:sz w:val="20"/>
          <w:szCs w:val="20"/>
        </w:rPr>
        <w:t>authorization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per field), schema </w:t>
      </w:r>
      <w:proofErr w:type="spellStart"/>
      <w:r w:rsidRPr="002C55C6">
        <w:rPr>
          <w:rFonts w:ascii="Arial" w:hAnsi="Arial" w:cs="Arial"/>
          <w:sz w:val="20"/>
          <w:szCs w:val="20"/>
        </w:rPr>
        <w:t>evolution</w:t>
      </w:r>
      <w:proofErr w:type="spellEnd"/>
      <w:r w:rsidRPr="002C55C6">
        <w:rPr>
          <w:rFonts w:ascii="Arial" w:hAnsi="Arial" w:cs="Arial"/>
          <w:sz w:val="20"/>
          <w:szCs w:val="20"/>
        </w:rPr>
        <w:t>. Includi confronti con REST per mobile/web. Fonti post-2020 con takeaway e citazioni."</w:t>
      </w:r>
    </w:p>
    <w:p w14:paraId="6FE3F6E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1784FE1A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Prompt per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alternative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</w:p>
    <w:p w14:paraId="6414E5D0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"Raccogli fonti autorevoli su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(RFC 6455), confronto con Server-Sent Events (SSE) e HTTP/2 </w:t>
      </w:r>
      <w:proofErr w:type="spellStart"/>
      <w:r w:rsidRPr="002C55C6">
        <w:rPr>
          <w:rFonts w:ascii="Arial" w:hAnsi="Arial" w:cs="Arial"/>
          <w:sz w:val="20"/>
          <w:szCs w:val="20"/>
        </w:rPr>
        <w:t>push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(deprecato), pattern di </w:t>
      </w:r>
      <w:proofErr w:type="spellStart"/>
      <w:r w:rsidRPr="002C55C6">
        <w:rPr>
          <w:rFonts w:ascii="Arial" w:hAnsi="Arial" w:cs="Arial"/>
          <w:sz w:val="20"/>
          <w:szCs w:val="20"/>
        </w:rPr>
        <w:t>backpressure</w:t>
      </w:r>
      <w:proofErr w:type="spellEnd"/>
      <w:r w:rsidRPr="002C55C6">
        <w:rPr>
          <w:rFonts w:ascii="Arial" w:hAnsi="Arial" w:cs="Arial"/>
          <w:sz w:val="20"/>
          <w:szCs w:val="20"/>
        </w:rPr>
        <w:t>, resilienza, scalabilità (</w:t>
      </w:r>
      <w:proofErr w:type="spellStart"/>
      <w:r w:rsidRPr="002C55C6">
        <w:rPr>
          <w:rFonts w:ascii="Arial" w:hAnsi="Arial" w:cs="Arial"/>
          <w:sz w:val="20"/>
          <w:szCs w:val="20"/>
        </w:rPr>
        <w:t>sticky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sessions, </w:t>
      </w:r>
      <w:proofErr w:type="spellStart"/>
      <w:r w:rsidRPr="002C55C6">
        <w:rPr>
          <w:rFonts w:ascii="Arial" w:hAnsi="Arial" w:cs="Arial"/>
          <w:sz w:val="20"/>
          <w:szCs w:val="20"/>
        </w:rPr>
        <w:t>sharding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broker come NATS/Kafka come </w:t>
      </w:r>
      <w:proofErr w:type="spellStart"/>
      <w:r w:rsidRPr="002C55C6">
        <w:rPr>
          <w:rFonts w:ascii="Arial" w:hAnsi="Arial" w:cs="Arial"/>
          <w:sz w:val="20"/>
          <w:szCs w:val="20"/>
        </w:rPr>
        <w:t>backbone</w:t>
      </w:r>
      <w:proofErr w:type="spellEnd"/>
      <w:r w:rsidRPr="002C55C6">
        <w:rPr>
          <w:rFonts w:ascii="Arial" w:hAnsi="Arial" w:cs="Arial"/>
          <w:sz w:val="20"/>
          <w:szCs w:val="20"/>
        </w:rPr>
        <w:t>), sicurezza (</w:t>
      </w:r>
      <w:proofErr w:type="spellStart"/>
      <w:r w:rsidRPr="002C55C6">
        <w:rPr>
          <w:rFonts w:ascii="Arial" w:hAnsi="Arial" w:cs="Arial"/>
          <w:sz w:val="20"/>
          <w:szCs w:val="20"/>
        </w:rPr>
        <w:t>origin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checks, </w:t>
      </w:r>
      <w:proofErr w:type="spellStart"/>
      <w:r w:rsidRPr="002C55C6">
        <w:rPr>
          <w:rFonts w:ascii="Arial" w:hAnsi="Arial" w:cs="Arial"/>
          <w:sz w:val="20"/>
          <w:szCs w:val="20"/>
        </w:rPr>
        <w:t>auth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su </w:t>
      </w:r>
      <w:proofErr w:type="spellStart"/>
      <w:r w:rsidRPr="002C55C6">
        <w:rPr>
          <w:rFonts w:ascii="Arial" w:hAnsi="Arial" w:cs="Arial"/>
          <w:sz w:val="20"/>
          <w:szCs w:val="20"/>
        </w:rPr>
        <w:t>handshake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token refresh). Include </w:t>
      </w:r>
      <w:proofErr w:type="spellStart"/>
      <w:r w:rsidRPr="002C55C6">
        <w:rPr>
          <w:rFonts w:ascii="Arial" w:hAnsi="Arial" w:cs="Arial"/>
          <w:sz w:val="20"/>
          <w:szCs w:val="20"/>
        </w:rPr>
        <w:t>Socket.IO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/Apollo </w:t>
      </w:r>
      <w:proofErr w:type="spellStart"/>
      <w:r w:rsidRPr="002C55C6">
        <w:rPr>
          <w:rFonts w:ascii="Arial" w:hAnsi="Arial" w:cs="Arial"/>
          <w:sz w:val="20"/>
          <w:szCs w:val="20"/>
        </w:rPr>
        <w:t>Subscriptions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come implementazioni pratiche e benchmark. Riporta quando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è necessario vs. quando basta polling/SSE."</w:t>
      </w:r>
    </w:p>
    <w:p w14:paraId="10C1498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622DDE1C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Prompt per MCP (Model </w:t>
      </w:r>
      <w:proofErr w:type="spellStart"/>
      <w:r w:rsidRPr="002C55C6">
        <w:rPr>
          <w:rFonts w:ascii="Arial" w:hAnsi="Arial" w:cs="Arial"/>
          <w:sz w:val="20"/>
          <w:szCs w:val="20"/>
        </w:rPr>
        <w:t>Context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</w:rPr>
        <w:t>Protocol</w:t>
      </w:r>
      <w:proofErr w:type="spellEnd"/>
      <w:r w:rsidRPr="002C55C6">
        <w:rPr>
          <w:rFonts w:ascii="Arial" w:hAnsi="Arial" w:cs="Arial"/>
          <w:sz w:val="20"/>
          <w:szCs w:val="20"/>
        </w:rPr>
        <w:t>)</w:t>
      </w:r>
    </w:p>
    <w:p w14:paraId="14AEC8D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"Cerca documentazione ufficiale e fonti tecniche su Model </w:t>
      </w:r>
      <w:proofErr w:type="spellStart"/>
      <w:r w:rsidRPr="002C55C6">
        <w:rPr>
          <w:rFonts w:ascii="Arial" w:hAnsi="Arial" w:cs="Arial"/>
          <w:sz w:val="20"/>
          <w:szCs w:val="20"/>
        </w:rPr>
        <w:t>Context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</w:rPr>
        <w:t>Protocol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(MCP) di </w:t>
      </w:r>
      <w:proofErr w:type="spellStart"/>
      <w:r w:rsidRPr="002C55C6">
        <w:rPr>
          <w:rFonts w:ascii="Arial" w:hAnsi="Arial" w:cs="Arial"/>
          <w:sz w:val="20"/>
          <w:szCs w:val="20"/>
        </w:rPr>
        <w:t>Anthropic</w:t>
      </w:r>
      <w:proofErr w:type="spellEnd"/>
      <w:r w:rsidRPr="002C55C6">
        <w:rPr>
          <w:rFonts w:ascii="Arial" w:hAnsi="Arial" w:cs="Arial"/>
          <w:sz w:val="20"/>
          <w:szCs w:val="20"/>
        </w:rPr>
        <w:t>: scopo, modalità di trasporto (</w:t>
      </w:r>
      <w:proofErr w:type="spellStart"/>
      <w:r w:rsidRPr="002C55C6">
        <w:rPr>
          <w:rFonts w:ascii="Arial" w:hAnsi="Arial" w:cs="Arial"/>
          <w:sz w:val="20"/>
          <w:szCs w:val="20"/>
        </w:rPr>
        <w:t>stdio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), schema di tool </w:t>
      </w:r>
      <w:proofErr w:type="spellStart"/>
      <w:r w:rsidRPr="002C55C6">
        <w:rPr>
          <w:rFonts w:ascii="Arial" w:hAnsi="Arial" w:cs="Arial"/>
          <w:sz w:val="20"/>
          <w:szCs w:val="20"/>
        </w:rPr>
        <w:t>discovery</w:t>
      </w:r>
      <w:proofErr w:type="spellEnd"/>
      <w:r w:rsidRPr="002C55C6">
        <w:rPr>
          <w:rFonts w:ascii="Arial" w:hAnsi="Arial" w:cs="Arial"/>
          <w:sz w:val="20"/>
          <w:szCs w:val="20"/>
        </w:rPr>
        <w:t>, sicurezza, casi d’uso per integrazione agent/tool e orchestrazione con servizi esistenti. Confronta dove MCP si posiziona rispetto a REST/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(non come API client-</w:t>
      </w:r>
      <w:proofErr w:type="spellStart"/>
      <w:r w:rsidRPr="002C55C6">
        <w:rPr>
          <w:rFonts w:ascii="Arial" w:hAnsi="Arial" w:cs="Arial"/>
          <w:sz w:val="20"/>
          <w:szCs w:val="20"/>
        </w:rPr>
        <w:t>facing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ma come </w:t>
      </w:r>
      <w:proofErr w:type="spellStart"/>
      <w:r w:rsidRPr="002C55C6">
        <w:rPr>
          <w:rFonts w:ascii="Arial" w:hAnsi="Arial" w:cs="Arial"/>
          <w:sz w:val="20"/>
          <w:szCs w:val="20"/>
        </w:rPr>
        <w:t>layer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di integrazione/agent </w:t>
      </w:r>
      <w:proofErr w:type="spellStart"/>
      <w:r w:rsidRPr="002C55C6">
        <w:rPr>
          <w:rFonts w:ascii="Arial" w:hAnsi="Arial" w:cs="Arial"/>
          <w:sz w:val="20"/>
          <w:szCs w:val="20"/>
        </w:rPr>
        <w:t>tooling</w:t>
      </w:r>
      <w:proofErr w:type="spellEnd"/>
      <w:r w:rsidRPr="002C55C6">
        <w:rPr>
          <w:rFonts w:ascii="Arial" w:hAnsi="Arial" w:cs="Arial"/>
          <w:sz w:val="20"/>
          <w:szCs w:val="20"/>
        </w:rPr>
        <w:t>). Fonti 2024-2025. Riporta link ufficiali, roadmap, esempi."</w:t>
      </w:r>
    </w:p>
    <w:p w14:paraId="105CA75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4D8BB0E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Prompt su pattern architetturali ibridi</w:t>
      </w:r>
    </w:p>
    <w:p w14:paraId="030D9B8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"Trova fonti autorevoli su architetture ibride: REST per CRUD/public </w:t>
      </w:r>
      <w:proofErr w:type="spellStart"/>
      <w:r w:rsidRPr="002C55C6">
        <w:rPr>
          <w:rFonts w:ascii="Arial" w:hAnsi="Arial" w:cs="Arial"/>
          <w:sz w:val="20"/>
          <w:szCs w:val="20"/>
        </w:rPr>
        <w:t>APIs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come BFF per aggregazione e ottimizzazione client-</w:t>
      </w:r>
      <w:proofErr w:type="spellStart"/>
      <w:r w:rsidRPr="002C55C6">
        <w:rPr>
          <w:rFonts w:ascii="Arial" w:hAnsi="Arial" w:cs="Arial"/>
          <w:sz w:val="20"/>
          <w:szCs w:val="20"/>
        </w:rPr>
        <w:t>driven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per eventi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e MCP per orchestrazione di tool/LLM e integrazione interna.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Cerca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pattern BFF, API Gateway, event-driven (Kafka/NATS), CQRS. </w:t>
      </w:r>
      <w:r w:rsidRPr="002C55C6">
        <w:rPr>
          <w:rFonts w:ascii="Arial" w:hAnsi="Arial" w:cs="Arial"/>
          <w:sz w:val="20"/>
          <w:szCs w:val="20"/>
        </w:rPr>
        <w:t>Includi casi d’uso, pro/contro, anti-pattern, e linee guida decisionali. fonti post-2020 con citazioni."</w:t>
      </w:r>
    </w:p>
    <w:p w14:paraId="3C136FB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50B0AC40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Prompt benchmark/metodologia sperimentale</w:t>
      </w:r>
    </w:p>
    <w:p w14:paraId="24CCE0A7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</w:rPr>
        <w:t xml:space="preserve">"Cerca benchmark e metodologie per valutare REST,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: tool (k6, </w:t>
      </w:r>
      <w:proofErr w:type="spellStart"/>
      <w:r w:rsidRPr="002C55C6">
        <w:rPr>
          <w:rFonts w:ascii="Arial" w:hAnsi="Arial" w:cs="Arial"/>
          <w:sz w:val="20"/>
          <w:szCs w:val="20"/>
        </w:rPr>
        <w:t>Locust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Artillery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wrk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oha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autocannon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), metriche (p50/p95/p99, throughput, </w:t>
      </w:r>
      <w:proofErr w:type="spellStart"/>
      <w:r w:rsidRPr="002C55C6">
        <w:rPr>
          <w:rFonts w:ascii="Arial" w:hAnsi="Arial" w:cs="Arial"/>
          <w:sz w:val="20"/>
          <w:szCs w:val="20"/>
        </w:rPr>
        <w:t>error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rate, CPU/RAM, bytes on </w:t>
      </w:r>
      <w:proofErr w:type="spellStart"/>
      <w:r w:rsidRPr="002C55C6">
        <w:rPr>
          <w:rFonts w:ascii="Arial" w:hAnsi="Arial" w:cs="Arial"/>
          <w:sz w:val="20"/>
          <w:szCs w:val="20"/>
        </w:rPr>
        <w:t>wire</w:t>
      </w:r>
      <w:proofErr w:type="spellEnd"/>
      <w:r w:rsidRPr="002C55C6">
        <w:rPr>
          <w:rFonts w:ascii="Arial" w:hAnsi="Arial" w:cs="Arial"/>
          <w:sz w:val="20"/>
          <w:szCs w:val="20"/>
        </w:rPr>
        <w:t>), dataset/</w:t>
      </w:r>
      <w:proofErr w:type="spellStart"/>
      <w:r w:rsidRPr="002C55C6">
        <w:rPr>
          <w:rFonts w:ascii="Arial" w:hAnsi="Arial" w:cs="Arial"/>
          <w:sz w:val="20"/>
          <w:szCs w:val="20"/>
        </w:rPr>
        <w:t>workload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design (</w:t>
      </w:r>
      <w:proofErr w:type="spellStart"/>
      <w:r w:rsidRPr="002C55C6">
        <w:rPr>
          <w:rFonts w:ascii="Arial" w:hAnsi="Arial" w:cs="Arial"/>
          <w:sz w:val="20"/>
          <w:szCs w:val="20"/>
        </w:rPr>
        <w:t>read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-heavy vs </w:t>
      </w:r>
      <w:proofErr w:type="spellStart"/>
      <w:r w:rsidRPr="002C55C6">
        <w:rPr>
          <w:rFonts w:ascii="Arial" w:hAnsi="Arial" w:cs="Arial"/>
          <w:sz w:val="20"/>
          <w:szCs w:val="20"/>
        </w:rPr>
        <w:t>write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-heavy vs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>), ambienti (Docker/K8s), osservabilità (</w:t>
      </w:r>
      <w:proofErr w:type="spellStart"/>
      <w:r w:rsidRPr="002C55C6">
        <w:rPr>
          <w:rFonts w:ascii="Arial" w:hAnsi="Arial" w:cs="Arial"/>
          <w:sz w:val="20"/>
          <w:szCs w:val="20"/>
        </w:rPr>
        <w:t>OpenTelemetry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Prometheus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Grafana</w:t>
      </w:r>
      <w:proofErr w:type="spellEnd"/>
      <w:r w:rsidRPr="002C55C6">
        <w:rPr>
          <w:rFonts w:ascii="Arial" w:hAnsi="Arial" w:cs="Arial"/>
          <w:sz w:val="20"/>
          <w:szCs w:val="20"/>
        </w:rPr>
        <w:t>, Jaeger), e minacce alla validità (</w:t>
      </w:r>
      <w:proofErr w:type="spellStart"/>
      <w:r w:rsidRPr="002C55C6">
        <w:rPr>
          <w:rFonts w:ascii="Arial" w:hAnsi="Arial" w:cs="Arial"/>
          <w:sz w:val="20"/>
          <w:szCs w:val="20"/>
        </w:rPr>
        <w:t>cold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start, connessioni TLS, caching CDN).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Includi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best practice per test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ripetibili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."</w:t>
      </w:r>
    </w:p>
    <w:p w14:paraId="62D3327E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</w:p>
    <w:p w14:paraId="5B450515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Prompt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sicurezza</w:t>
      </w:r>
      <w:proofErr w:type="spellEnd"/>
    </w:p>
    <w:p w14:paraId="01E0D36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"Trova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fonti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ufficiali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su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sicurezza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per API e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canali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: OWASP API Security Top 10, OAuth2/OIDC best practices, CORS, CSRF, schema-level auth in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, input validation, rate limiting e cost analysis, WebSocket security (handshake, origin, token rotation), secrets management. </w:t>
      </w:r>
      <w:r w:rsidRPr="002C55C6">
        <w:rPr>
          <w:rFonts w:ascii="Arial" w:hAnsi="Arial" w:cs="Arial"/>
          <w:sz w:val="20"/>
          <w:szCs w:val="20"/>
        </w:rPr>
        <w:t>Includi riferimenti a standard, guide OWASP, casi noti di vulnerabilità e mitigazioni."</w:t>
      </w:r>
    </w:p>
    <w:p w14:paraId="291A783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7782F4D4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Prompt accademico (IEEE/ACM)</w:t>
      </w:r>
    </w:p>
    <w:p w14:paraId="75F75CDA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"Ricerca articoli accademici (IEEE </w:t>
      </w:r>
      <w:proofErr w:type="spellStart"/>
      <w:r w:rsidRPr="002C55C6">
        <w:rPr>
          <w:rFonts w:ascii="Arial" w:hAnsi="Arial" w:cs="Arial"/>
          <w:sz w:val="20"/>
          <w:szCs w:val="20"/>
        </w:rPr>
        <w:t>Xplore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ACM DL, ArXiv con DOI quando disponibile) dal 2020 in poi che confrontino REST,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su performance, </w:t>
      </w:r>
      <w:proofErr w:type="spellStart"/>
      <w:r w:rsidRPr="002C55C6">
        <w:rPr>
          <w:rFonts w:ascii="Arial" w:hAnsi="Arial" w:cs="Arial"/>
          <w:sz w:val="20"/>
          <w:szCs w:val="20"/>
        </w:rPr>
        <w:t>usability</w:t>
      </w:r>
      <w:proofErr w:type="spellEnd"/>
      <w:r w:rsidRPr="002C55C6">
        <w:rPr>
          <w:rFonts w:ascii="Arial" w:hAnsi="Arial" w:cs="Arial"/>
          <w:sz w:val="20"/>
          <w:szCs w:val="20"/>
        </w:rPr>
        <w:t>/</w:t>
      </w:r>
      <w:proofErr w:type="spellStart"/>
      <w:r w:rsidRPr="002C55C6">
        <w:rPr>
          <w:rFonts w:ascii="Arial" w:hAnsi="Arial" w:cs="Arial"/>
          <w:sz w:val="20"/>
          <w:szCs w:val="20"/>
        </w:rPr>
        <w:t>devX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maintenability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evolvability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caching, e architetture ibride. Fornisci APA/IEEE </w:t>
      </w:r>
      <w:proofErr w:type="spellStart"/>
      <w:r w:rsidRPr="002C55C6">
        <w:rPr>
          <w:rFonts w:ascii="Arial" w:hAnsi="Arial" w:cs="Arial"/>
          <w:sz w:val="20"/>
          <w:szCs w:val="20"/>
        </w:rPr>
        <w:t>citation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completa, DOI, link, 3-5 takeaway, limiti dello studio, e replicabilità."</w:t>
      </w:r>
    </w:p>
    <w:p w14:paraId="2DB2108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233001B4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Parole chiave e filtri utili per le ricerche</w:t>
      </w:r>
    </w:p>
    <w:p w14:paraId="03BE0BE5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>- Keyword: "comparative study", "empirical evaluation", "benchmark", "latency p95", "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overfetching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underfetching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", "API gateway", "BFF pattern", "CQRS", "event-driven architecture", "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OpenAPI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", "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persisted queries", "subscriptions", "WebSocket backpressure", "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OpenTelemetry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".</w:t>
      </w:r>
    </w:p>
    <w:p w14:paraId="2CDAF7D4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>- Fonti/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filtri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site:ietf.org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site:rfc-editor.org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site:graphql.org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site:apollographql.com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site:openapis.org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site:owasp.org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site:martinfowler.com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site:anthropic.com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site:github.com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/modelcontextprotocol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site:dl.acm.org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site:ieeexplore.ieee.org</w:t>
      </w:r>
      <w:proofErr w:type="gramEnd"/>
    </w:p>
    <w:p w14:paraId="67625D3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Anni: preferisci 2020–2025 (MCP 2024–2025).</w:t>
      </w:r>
    </w:p>
    <w:p w14:paraId="439F526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522965E7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Sezione 2 — Idea per l’architettura ibrida</w:t>
      </w:r>
    </w:p>
    <w:p w14:paraId="19372E0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Obiettivo: dimostrare la scelta “strumento giusto per il compito giusto” con un caso realistico.</w:t>
      </w:r>
    </w:p>
    <w:p w14:paraId="74ECA31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3539BB8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Caso applicativo di esempio</w:t>
      </w:r>
    </w:p>
    <w:p w14:paraId="02DC85A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“Dashboard collaborativa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per ordini/telemetria”: </w:t>
      </w:r>
    </w:p>
    <w:p w14:paraId="610066C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Client Web/Mobile richiede viste aggregate, filtri e grafici live.</w:t>
      </w:r>
    </w:p>
    <w:p w14:paraId="6773DDF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Utenti creano/aggiornano ordini e vedono stati in tempo reale.</w:t>
      </w:r>
    </w:p>
    <w:p w14:paraId="6316953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Integrazione con strumenti interni/LLM per arricchire dati o suggerire azioni (via MCP).</w:t>
      </w:r>
    </w:p>
    <w:p w14:paraId="7466FB9A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2DCF2B9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Scelte architetturali</w:t>
      </w:r>
    </w:p>
    <w:p w14:paraId="7FC9432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API Gateway davanti a tutto (rate </w:t>
      </w:r>
      <w:proofErr w:type="spellStart"/>
      <w:r w:rsidRPr="002C55C6">
        <w:rPr>
          <w:rFonts w:ascii="Arial" w:hAnsi="Arial" w:cs="Arial"/>
          <w:sz w:val="20"/>
          <w:szCs w:val="20"/>
        </w:rPr>
        <w:t>limiting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auth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observability</w:t>
      </w:r>
      <w:proofErr w:type="spellEnd"/>
      <w:r w:rsidRPr="002C55C6">
        <w:rPr>
          <w:rFonts w:ascii="Arial" w:hAnsi="Arial" w:cs="Arial"/>
          <w:sz w:val="20"/>
          <w:szCs w:val="20"/>
        </w:rPr>
        <w:t>).</w:t>
      </w:r>
    </w:p>
    <w:p w14:paraId="672251E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REST:</w:t>
      </w:r>
    </w:p>
    <w:p w14:paraId="2AAD459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CRUD di risorse canoniche e integrazione pubblica.</w:t>
      </w:r>
    </w:p>
    <w:p w14:paraId="5452910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Cache-friendly, </w:t>
      </w:r>
      <w:proofErr w:type="spellStart"/>
      <w:r w:rsidRPr="002C55C6">
        <w:rPr>
          <w:rFonts w:ascii="Arial" w:hAnsi="Arial" w:cs="Arial"/>
          <w:sz w:val="20"/>
          <w:szCs w:val="20"/>
        </w:rPr>
        <w:t>versioning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esplicito, interoperabilità ampia.</w:t>
      </w:r>
    </w:p>
    <w:p w14:paraId="7E93CDE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(BFF):</w:t>
      </w:r>
    </w:p>
    <w:p w14:paraId="0750095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Per i client Web/Mobile: query ottimizzate e aggregazioni cross-service, riducendo round-trip e </w:t>
      </w:r>
      <w:proofErr w:type="spellStart"/>
      <w:r w:rsidRPr="002C55C6">
        <w:rPr>
          <w:rFonts w:ascii="Arial" w:hAnsi="Arial" w:cs="Arial"/>
          <w:sz w:val="20"/>
          <w:szCs w:val="20"/>
        </w:rPr>
        <w:t>overfetching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24840FD3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</w:rPr>
        <w:t xml:space="preserve">  </w:t>
      </w:r>
      <w:r w:rsidRPr="002C55C6">
        <w:rPr>
          <w:rFonts w:ascii="Arial" w:hAnsi="Arial" w:cs="Arial"/>
          <w:sz w:val="20"/>
          <w:szCs w:val="20"/>
          <w:lang w:val="en-US"/>
        </w:rPr>
        <w:t xml:space="preserve">- Persisted queries, cost analysis, schema federation se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necessario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795FDFB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>:</w:t>
      </w:r>
    </w:p>
    <w:p w14:paraId="6E16C6B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Canale eventi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>: aggiornamenti stato ordini, notifiche, progress bar.</w:t>
      </w:r>
    </w:p>
    <w:p w14:paraId="7AD3880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</w:t>
      </w:r>
      <w:proofErr w:type="spellStart"/>
      <w:r w:rsidRPr="002C55C6">
        <w:rPr>
          <w:rFonts w:ascii="Arial" w:hAnsi="Arial" w:cs="Arial"/>
          <w:sz w:val="20"/>
          <w:szCs w:val="20"/>
        </w:rPr>
        <w:t>Backpressure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riconnessioni; eventualmente </w:t>
      </w:r>
      <w:proofErr w:type="spellStart"/>
      <w:r w:rsidRPr="002C55C6">
        <w:rPr>
          <w:rFonts w:ascii="Arial" w:hAnsi="Arial" w:cs="Arial"/>
          <w:sz w:val="20"/>
          <w:szCs w:val="20"/>
        </w:rPr>
        <w:t>fallback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a SSE quando basta.</w:t>
      </w:r>
    </w:p>
    <w:p w14:paraId="2016F52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MCP:</w:t>
      </w:r>
    </w:p>
    <w:p w14:paraId="2BC8777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Orchestrazione tool/agent interni: arricchimento dati, generazione report, automazioni operative.</w:t>
      </w:r>
    </w:p>
    <w:p w14:paraId="449C124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Non esposto ai client finali: </w:t>
      </w:r>
      <w:proofErr w:type="spellStart"/>
      <w:r w:rsidRPr="002C55C6">
        <w:rPr>
          <w:rFonts w:ascii="Arial" w:hAnsi="Arial" w:cs="Arial"/>
          <w:sz w:val="20"/>
          <w:szCs w:val="20"/>
        </w:rPr>
        <w:t>layer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interno di integrazione agent—services.</w:t>
      </w:r>
    </w:p>
    <w:p w14:paraId="327720C4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1F30BE4C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>Backbone e cross-cutting</w:t>
      </w:r>
    </w:p>
    <w:p w14:paraId="2C011AD7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Event bus (Kafka/NATS) per decoupling e fan-out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degli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eventi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416F6A8B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AuthN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AuthZ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: OIDC/OAuth2; token-bound subscriptions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su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WebSocket.</w:t>
      </w:r>
    </w:p>
    <w:p w14:paraId="6A57386D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Osservabilità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OpenTelemetry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+ Prometheus/Grafana + Jaeger.</w:t>
      </w:r>
    </w:p>
    <w:p w14:paraId="2F1C96F3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Caching: CDN + edge caching per REST; cache di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risposta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/layer per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(persisted queries).</w:t>
      </w:r>
    </w:p>
    <w:p w14:paraId="76D7AA96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Schema e governance: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OpenAPI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per REST, SDL per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, versioning e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compatibilità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evolutiva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4AB8332E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</w:p>
    <w:p w14:paraId="17903AC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Sezione 3 — Analisi comparativa: criteri e matrice</w:t>
      </w:r>
    </w:p>
    <w:p w14:paraId="132B168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lastRenderedPageBreak/>
        <w:t>Confronta per ciascun modello:</w:t>
      </w:r>
    </w:p>
    <w:p w14:paraId="770BB15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Performance: latenza p50/p95/p99, throughput, bytes on </w:t>
      </w:r>
      <w:proofErr w:type="spellStart"/>
      <w:r w:rsidRPr="002C55C6">
        <w:rPr>
          <w:rFonts w:ascii="Arial" w:hAnsi="Arial" w:cs="Arial"/>
          <w:sz w:val="20"/>
          <w:szCs w:val="20"/>
        </w:rPr>
        <w:t>wire</w:t>
      </w:r>
      <w:proofErr w:type="spellEnd"/>
      <w:r w:rsidRPr="002C55C6">
        <w:rPr>
          <w:rFonts w:ascii="Arial" w:hAnsi="Arial" w:cs="Arial"/>
          <w:sz w:val="20"/>
          <w:szCs w:val="20"/>
        </w:rPr>
        <w:t>, connessioni attive.</w:t>
      </w:r>
    </w:p>
    <w:p w14:paraId="169EA22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DX/Produttività: schema evolutivo, </w:t>
      </w:r>
      <w:proofErr w:type="spellStart"/>
      <w:r w:rsidRPr="002C55C6">
        <w:rPr>
          <w:rFonts w:ascii="Arial" w:hAnsi="Arial" w:cs="Arial"/>
          <w:sz w:val="20"/>
          <w:szCs w:val="20"/>
        </w:rPr>
        <w:t>tooling</w:t>
      </w:r>
      <w:proofErr w:type="spellEnd"/>
      <w:r w:rsidRPr="002C55C6">
        <w:rPr>
          <w:rFonts w:ascii="Arial" w:hAnsi="Arial" w:cs="Arial"/>
          <w:sz w:val="20"/>
          <w:szCs w:val="20"/>
        </w:rPr>
        <w:t>, introspezione, documentazione, tipizzazione.</w:t>
      </w:r>
    </w:p>
    <w:p w14:paraId="5EBFACA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</w:rPr>
        <w:t>Cacheabilità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CDN: facilità di caching, </w:t>
      </w:r>
      <w:proofErr w:type="spellStart"/>
      <w:r w:rsidRPr="002C55C6">
        <w:rPr>
          <w:rFonts w:ascii="Arial" w:hAnsi="Arial" w:cs="Arial"/>
          <w:sz w:val="20"/>
          <w:szCs w:val="20"/>
        </w:rPr>
        <w:t>invalidation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edge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compute.</w:t>
      </w:r>
    </w:p>
    <w:p w14:paraId="7A50420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</w:rPr>
        <w:t>Evolvibilità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2C55C6">
        <w:rPr>
          <w:rFonts w:ascii="Arial" w:hAnsi="Arial" w:cs="Arial"/>
          <w:sz w:val="20"/>
          <w:szCs w:val="20"/>
        </w:rPr>
        <w:t>versioning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(REST), </w:t>
      </w:r>
      <w:proofErr w:type="spellStart"/>
      <w:r w:rsidRPr="002C55C6">
        <w:rPr>
          <w:rFonts w:ascii="Arial" w:hAnsi="Arial" w:cs="Arial"/>
          <w:sz w:val="20"/>
          <w:szCs w:val="20"/>
        </w:rPr>
        <w:t>deprecation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e schema </w:t>
      </w:r>
      <w:proofErr w:type="spellStart"/>
      <w:r w:rsidRPr="002C55C6">
        <w:rPr>
          <w:rFonts w:ascii="Arial" w:hAnsi="Arial" w:cs="Arial"/>
          <w:sz w:val="20"/>
          <w:szCs w:val="20"/>
        </w:rPr>
        <w:t>evolution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>), contratti.</w:t>
      </w:r>
    </w:p>
    <w:p w14:paraId="74014CC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>: capacità, complessità operativa, resilienza.</w:t>
      </w:r>
    </w:p>
    <w:p w14:paraId="70EB201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Sicurezza: superfici d’attacco, controllo granulare, rate </w:t>
      </w:r>
      <w:proofErr w:type="spellStart"/>
      <w:r w:rsidRPr="002C55C6">
        <w:rPr>
          <w:rFonts w:ascii="Arial" w:hAnsi="Arial" w:cs="Arial"/>
          <w:sz w:val="20"/>
          <w:szCs w:val="20"/>
        </w:rPr>
        <w:t>limiting</w:t>
      </w:r>
      <w:proofErr w:type="spellEnd"/>
      <w:r w:rsidRPr="002C55C6">
        <w:rPr>
          <w:rFonts w:ascii="Arial" w:hAnsi="Arial" w:cs="Arial"/>
          <w:sz w:val="20"/>
          <w:szCs w:val="20"/>
        </w:rPr>
        <w:t>/cost.</w:t>
      </w:r>
    </w:p>
    <w:p w14:paraId="073C172A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Osservabilità: tracing per richiesta/operazione, correlazione eventi.</w:t>
      </w:r>
    </w:p>
    <w:p w14:paraId="275147E7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Complessità operativa: scalabilità, </w:t>
      </w:r>
      <w:proofErr w:type="spellStart"/>
      <w:r w:rsidRPr="002C55C6">
        <w:rPr>
          <w:rFonts w:ascii="Arial" w:hAnsi="Arial" w:cs="Arial"/>
          <w:sz w:val="20"/>
          <w:szCs w:val="20"/>
        </w:rPr>
        <w:t>sticky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sessions per WS, manutenzione.</w:t>
      </w:r>
    </w:p>
    <w:p w14:paraId="744031B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Interoperabilità: standardizzazione, ecosistemi, compatibilità con tool </w:t>
      </w:r>
      <w:proofErr w:type="spellStart"/>
      <w:r w:rsidRPr="002C55C6">
        <w:rPr>
          <w:rFonts w:ascii="Arial" w:hAnsi="Arial" w:cs="Arial"/>
          <w:sz w:val="20"/>
          <w:szCs w:val="20"/>
        </w:rPr>
        <w:t>enterprise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5DC15B8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Ruolo di MCP: nicchia d’uso come </w:t>
      </w:r>
      <w:proofErr w:type="spellStart"/>
      <w:r w:rsidRPr="002C55C6">
        <w:rPr>
          <w:rFonts w:ascii="Arial" w:hAnsi="Arial" w:cs="Arial"/>
          <w:sz w:val="20"/>
          <w:szCs w:val="20"/>
        </w:rPr>
        <w:t>orchestration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/agent </w:t>
      </w:r>
      <w:proofErr w:type="spellStart"/>
      <w:r w:rsidRPr="002C55C6">
        <w:rPr>
          <w:rFonts w:ascii="Arial" w:hAnsi="Arial" w:cs="Arial"/>
          <w:sz w:val="20"/>
          <w:szCs w:val="20"/>
        </w:rPr>
        <w:t>tooling</w:t>
      </w:r>
      <w:proofErr w:type="spellEnd"/>
      <w:r w:rsidRPr="002C55C6">
        <w:rPr>
          <w:rFonts w:ascii="Arial" w:hAnsi="Arial" w:cs="Arial"/>
          <w:sz w:val="20"/>
          <w:szCs w:val="20"/>
        </w:rPr>
        <w:t>, non sostitutivo di API client-</w:t>
      </w:r>
      <w:proofErr w:type="spellStart"/>
      <w:r w:rsidRPr="002C55C6">
        <w:rPr>
          <w:rFonts w:ascii="Arial" w:hAnsi="Arial" w:cs="Arial"/>
          <w:sz w:val="20"/>
          <w:szCs w:val="20"/>
        </w:rPr>
        <w:t>facing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5DE04C16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00D3DB3C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Sezione 4 — Piano sperimentale (metodologia)</w:t>
      </w:r>
    </w:p>
    <w:p w14:paraId="5A8E4E3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Ambienti:</w:t>
      </w:r>
    </w:p>
    <w:p w14:paraId="205B370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Docker Compose o </w:t>
      </w:r>
      <w:proofErr w:type="spellStart"/>
      <w:r w:rsidRPr="002C55C6">
        <w:rPr>
          <w:rFonts w:ascii="Arial" w:hAnsi="Arial" w:cs="Arial"/>
          <w:sz w:val="20"/>
          <w:szCs w:val="20"/>
        </w:rPr>
        <w:t>Kubernetes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con risorse limitate e poi scalate.</w:t>
      </w:r>
    </w:p>
    <w:p w14:paraId="665BACF6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</w:rPr>
        <w:t xml:space="preserve">  </w:t>
      </w:r>
      <w:r w:rsidRPr="002C55C6">
        <w:rPr>
          <w:rFonts w:ascii="Arial" w:hAnsi="Arial" w:cs="Arial"/>
          <w:sz w:val="20"/>
          <w:szCs w:val="20"/>
          <w:lang w:val="en-US"/>
        </w:rPr>
        <w:t xml:space="preserve">- Reverse proxy (Envoy/NGINX) con TLS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abilitato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66073EE5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>- Workload:</w:t>
      </w:r>
    </w:p>
    <w:p w14:paraId="3F04B5C0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1) Read-heavy (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liste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proofErr w:type="gramStart"/>
      <w:r w:rsidRPr="002C55C6">
        <w:rPr>
          <w:rFonts w:ascii="Arial" w:hAnsi="Arial" w:cs="Arial"/>
          <w:sz w:val="20"/>
          <w:szCs w:val="20"/>
          <w:lang w:val="en-US"/>
        </w:rPr>
        <w:t>filtri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) —</w:t>
      </w:r>
      <w:proofErr w:type="gramEnd"/>
      <w:r w:rsidRPr="002C55C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confronta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REST vs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32BD696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</w:t>
      </w:r>
      <w:r w:rsidRPr="002C55C6">
        <w:rPr>
          <w:rFonts w:ascii="Arial" w:hAnsi="Arial" w:cs="Arial"/>
          <w:sz w:val="20"/>
          <w:szCs w:val="20"/>
        </w:rPr>
        <w:t xml:space="preserve">2) </w:t>
      </w:r>
      <w:proofErr w:type="spellStart"/>
      <w:r w:rsidRPr="002C55C6">
        <w:rPr>
          <w:rFonts w:ascii="Arial" w:hAnsi="Arial" w:cs="Arial"/>
          <w:sz w:val="20"/>
          <w:szCs w:val="20"/>
        </w:rPr>
        <w:t>Mutation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-heavy (crea/aggiorna) — idempotenza, </w:t>
      </w:r>
      <w:proofErr w:type="spellStart"/>
      <w:r w:rsidRPr="002C55C6">
        <w:rPr>
          <w:rFonts w:ascii="Arial" w:hAnsi="Arial" w:cs="Arial"/>
          <w:sz w:val="20"/>
          <w:szCs w:val="20"/>
        </w:rPr>
        <w:t>error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5C6">
        <w:rPr>
          <w:rFonts w:ascii="Arial" w:hAnsi="Arial" w:cs="Arial"/>
          <w:sz w:val="20"/>
          <w:szCs w:val="20"/>
        </w:rPr>
        <w:t>handling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2782834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3) </w:t>
      </w:r>
      <w:proofErr w:type="spellStart"/>
      <w:r w:rsidRPr="002C55C6">
        <w:rPr>
          <w:rFonts w:ascii="Arial" w:hAnsi="Arial" w:cs="Arial"/>
          <w:sz w:val="20"/>
          <w:szCs w:val="20"/>
        </w:rPr>
        <w:t>Realtime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(sottoscrizioni/stream) —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vs SSE </w:t>
      </w:r>
      <w:proofErr w:type="spellStart"/>
      <w:r w:rsidRPr="002C55C6">
        <w:rPr>
          <w:rFonts w:ascii="Arial" w:hAnsi="Arial" w:cs="Arial"/>
          <w:sz w:val="20"/>
          <w:szCs w:val="20"/>
        </w:rPr>
        <w:t>fallback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54F2AD88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Metriche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:</w:t>
      </w:r>
    </w:p>
    <w:p w14:paraId="7CF80E79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Latenza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p50/p95/p99, throughput, error rate.</w:t>
      </w:r>
    </w:p>
    <w:p w14:paraId="53503084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CPU/RAM, GC, sockets, open file descriptors.</w:t>
      </w:r>
    </w:p>
    <w:p w14:paraId="46621BD5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Bytes on wire,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numero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round-trip per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operazione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3CD29917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Strumenti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:</w:t>
      </w:r>
    </w:p>
    <w:p w14:paraId="7647D19B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k6/Locust/Artillery per REST/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.</w:t>
      </w:r>
    </w:p>
    <w:p w14:paraId="3C4127BC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autocannon/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oha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wrk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per endpoint HTTP.</w:t>
      </w:r>
    </w:p>
    <w:p w14:paraId="2A9E3E06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Tool WS (Artillery WS, k6 WS, Autobahn test suite).</w:t>
      </w:r>
    </w:p>
    <w:p w14:paraId="13BE4725" w14:textId="77777777" w:rsidR="002C55C6" w:rsidRPr="002C55C6" w:rsidRDefault="002C55C6" w:rsidP="002C55C6">
      <w:pPr>
        <w:rPr>
          <w:rFonts w:ascii="Arial" w:hAnsi="Arial" w:cs="Arial"/>
          <w:sz w:val="20"/>
          <w:szCs w:val="20"/>
          <w:lang w:val="en-US"/>
        </w:rPr>
      </w:pPr>
      <w:r w:rsidRPr="002C55C6">
        <w:rPr>
          <w:rFonts w:ascii="Arial" w:hAnsi="Arial" w:cs="Arial"/>
          <w:sz w:val="20"/>
          <w:szCs w:val="20"/>
          <w:lang w:val="en-US"/>
        </w:rPr>
        <w:t xml:space="preserve">  - </w:t>
      </w:r>
      <w:proofErr w:type="spellStart"/>
      <w:r w:rsidRPr="002C55C6">
        <w:rPr>
          <w:rFonts w:ascii="Arial" w:hAnsi="Arial" w:cs="Arial"/>
          <w:sz w:val="20"/>
          <w:szCs w:val="20"/>
          <w:lang w:val="en-US"/>
        </w:rPr>
        <w:t>OpenTelemetry</w:t>
      </w:r>
      <w:proofErr w:type="spellEnd"/>
      <w:r w:rsidRPr="002C55C6">
        <w:rPr>
          <w:rFonts w:ascii="Arial" w:hAnsi="Arial" w:cs="Arial"/>
          <w:sz w:val="20"/>
          <w:szCs w:val="20"/>
          <w:lang w:val="en-US"/>
        </w:rPr>
        <w:t xml:space="preserve"> per tracing end-to-end; Prometheus/Grafana per dashboard; Jaeger per traces.</w:t>
      </w:r>
    </w:p>
    <w:p w14:paraId="05BC1D8D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Controllo variabili:</w:t>
      </w:r>
    </w:p>
    <w:p w14:paraId="1CC66C2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Stesso dataset sintetico, </w:t>
      </w:r>
      <w:proofErr w:type="spellStart"/>
      <w:r w:rsidRPr="002C55C6">
        <w:rPr>
          <w:rFonts w:ascii="Arial" w:hAnsi="Arial" w:cs="Arial"/>
          <w:sz w:val="20"/>
          <w:szCs w:val="20"/>
        </w:rPr>
        <w:t>warm</w:t>
      </w:r>
      <w:proofErr w:type="spellEnd"/>
      <w:r w:rsidRPr="002C55C6">
        <w:rPr>
          <w:rFonts w:ascii="Arial" w:hAnsi="Arial" w:cs="Arial"/>
          <w:sz w:val="20"/>
          <w:szCs w:val="20"/>
        </w:rPr>
        <w:t>-up, stesse politiche cache (on/off), TLS on.</w:t>
      </w:r>
    </w:p>
    <w:p w14:paraId="033034B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  - Ripetizioni e intervalli di confidenza; report dei parametri di test.</w:t>
      </w:r>
    </w:p>
    <w:p w14:paraId="6B641A50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7A525F3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lastRenderedPageBreak/>
        <w:t>Output attesi</w:t>
      </w:r>
    </w:p>
    <w:p w14:paraId="451C480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Tabelle e grafici di confronto per scenario.</w:t>
      </w:r>
    </w:p>
    <w:p w14:paraId="6905110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Analisi dei trade-off e raccomandazioni: quando usare cosa, e perché l’ibrido vince in certe condizioni.</w:t>
      </w:r>
    </w:p>
    <w:p w14:paraId="026B58D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Linee guida decisionali (albero decisionale) per scegliere il modello per un nuovo requisito.</w:t>
      </w:r>
    </w:p>
    <w:p w14:paraId="6B3C106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7A4D8F77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Sezione 5 — Struttura della tesi (proposta)</w:t>
      </w:r>
    </w:p>
    <w:p w14:paraId="0C85AF8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Introduzione e obiettivi</w:t>
      </w:r>
    </w:p>
    <w:p w14:paraId="7FACC701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2C55C6">
        <w:rPr>
          <w:rFonts w:ascii="Arial" w:hAnsi="Arial" w:cs="Arial"/>
          <w:sz w:val="20"/>
          <w:szCs w:val="20"/>
        </w:rPr>
        <w:t>Background</w:t>
      </w:r>
      <w:proofErr w:type="gramEnd"/>
      <w:r w:rsidRPr="002C55C6">
        <w:rPr>
          <w:rFonts w:ascii="Arial" w:hAnsi="Arial" w:cs="Arial"/>
          <w:sz w:val="20"/>
          <w:szCs w:val="20"/>
        </w:rPr>
        <w:t xml:space="preserve">: REST,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55C6">
        <w:rPr>
          <w:rFonts w:ascii="Arial" w:hAnsi="Arial" w:cs="Arial"/>
          <w:sz w:val="20"/>
          <w:szCs w:val="20"/>
        </w:rPr>
        <w:t>WebSocket</w:t>
      </w:r>
      <w:proofErr w:type="spellEnd"/>
      <w:r w:rsidRPr="002C55C6">
        <w:rPr>
          <w:rFonts w:ascii="Arial" w:hAnsi="Arial" w:cs="Arial"/>
          <w:sz w:val="20"/>
          <w:szCs w:val="20"/>
        </w:rPr>
        <w:t>, MCP</w:t>
      </w:r>
    </w:p>
    <w:p w14:paraId="225B6B33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Stato dell’arte e lavori correlati</w:t>
      </w:r>
    </w:p>
    <w:p w14:paraId="282C447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Architettura proposta (ibrida) e razionale delle scelte</w:t>
      </w:r>
    </w:p>
    <w:p w14:paraId="454C5BC2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Metodologia sperimentale</w:t>
      </w:r>
    </w:p>
    <w:p w14:paraId="1D68EDF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Implementazione prototipale</w:t>
      </w:r>
    </w:p>
    <w:p w14:paraId="5D7E7B1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Risultati e discussione</w:t>
      </w:r>
    </w:p>
    <w:p w14:paraId="58460BEF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Linee guida e raccomandazioni</w:t>
      </w:r>
    </w:p>
    <w:p w14:paraId="1244A818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Minacce alla validità e lavori futuri</w:t>
      </w:r>
    </w:p>
    <w:p w14:paraId="6EF15325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Conclusioni</w:t>
      </w:r>
    </w:p>
    <w:p w14:paraId="3B0F95A6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</w:p>
    <w:p w14:paraId="5FECC7A9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Se vuoi, posso:</w:t>
      </w:r>
    </w:p>
    <w:p w14:paraId="19B48DBE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Generare una matrice comparativa pronta in LaTeX/</w:t>
      </w:r>
      <w:proofErr w:type="spellStart"/>
      <w:r w:rsidRPr="002C55C6">
        <w:rPr>
          <w:rFonts w:ascii="Arial" w:hAnsi="Arial" w:cs="Arial"/>
          <w:sz w:val="20"/>
          <w:szCs w:val="20"/>
        </w:rPr>
        <w:t>Markdown</w:t>
      </w:r>
      <w:proofErr w:type="spellEnd"/>
      <w:r w:rsidRPr="002C55C6">
        <w:rPr>
          <w:rFonts w:ascii="Arial" w:hAnsi="Arial" w:cs="Arial"/>
          <w:sz w:val="20"/>
          <w:szCs w:val="20"/>
        </w:rPr>
        <w:t>.</w:t>
      </w:r>
    </w:p>
    <w:p w14:paraId="3EAE625A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Darti un set di script k6/</w:t>
      </w:r>
      <w:proofErr w:type="spellStart"/>
      <w:r w:rsidRPr="002C55C6">
        <w:rPr>
          <w:rFonts w:ascii="Arial" w:hAnsi="Arial" w:cs="Arial"/>
          <w:sz w:val="20"/>
          <w:szCs w:val="20"/>
        </w:rPr>
        <w:t>Artillery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per i test con dataset sintetico.</w:t>
      </w:r>
    </w:p>
    <w:p w14:paraId="42FFF69B" w14:textId="77777777" w:rsidR="002C55C6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 xml:space="preserve">- Produrre uno schema </w:t>
      </w:r>
      <w:proofErr w:type="spellStart"/>
      <w:r w:rsidRPr="002C55C6">
        <w:rPr>
          <w:rFonts w:ascii="Arial" w:hAnsi="Arial" w:cs="Arial"/>
          <w:sz w:val="20"/>
          <w:szCs w:val="20"/>
        </w:rPr>
        <w:t>GraphQL</w:t>
      </w:r>
      <w:proofErr w:type="spellEnd"/>
      <w:r w:rsidRPr="002C55C6">
        <w:rPr>
          <w:rFonts w:ascii="Arial" w:hAnsi="Arial" w:cs="Arial"/>
          <w:sz w:val="20"/>
          <w:szCs w:val="20"/>
        </w:rPr>
        <w:t xml:space="preserve"> minimo e mapping REST corrispondente.</w:t>
      </w:r>
    </w:p>
    <w:p w14:paraId="43C85C22" w14:textId="70A45EF7" w:rsidR="00D63E9D" w:rsidRPr="002C55C6" w:rsidRDefault="002C55C6" w:rsidP="002C55C6">
      <w:pPr>
        <w:rPr>
          <w:rFonts w:ascii="Arial" w:hAnsi="Arial" w:cs="Arial"/>
          <w:sz w:val="20"/>
          <w:szCs w:val="20"/>
        </w:rPr>
      </w:pPr>
      <w:r w:rsidRPr="002C55C6">
        <w:rPr>
          <w:rFonts w:ascii="Arial" w:hAnsi="Arial" w:cs="Arial"/>
          <w:sz w:val="20"/>
          <w:szCs w:val="20"/>
        </w:rPr>
        <w:t>- Fornire un elenco di fonti iniziali già raccolte con citazioni complete.</w:t>
      </w:r>
    </w:p>
    <w:sectPr w:rsidR="00D63E9D" w:rsidRPr="002C55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1"/>
    <w:rsid w:val="002C55C6"/>
    <w:rsid w:val="008263B1"/>
    <w:rsid w:val="008B046B"/>
    <w:rsid w:val="00C64E69"/>
    <w:rsid w:val="00D6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6A7A"/>
  <w15:chartTrackingRefBased/>
  <w15:docId w15:val="{89E9AE46-9D2D-4986-B34B-E4A68B04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63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63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63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63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63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63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63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63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63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63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2025-10-30T11:49:00Z</dcterms:created>
  <dcterms:modified xsi:type="dcterms:W3CDTF">2025-10-30T11:50:00Z</dcterms:modified>
</cp:coreProperties>
</file>