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Експериментальне обґрунтування рішення</w:t>
      </w:r>
    </w:p>
    <w:p>
      <w:pPr>
        <w:pStyle w:val="Heading1"/>
      </w:pPr>
      <w:r>
        <w:t>1. Мета і методологія</w:t>
      </w:r>
    </w:p>
    <w:p>
      <w:r>
        <w:t>Мета експерименту — кількісно довести ефективність запропонованої інформаційної системи моніторингу стану і предиктивного обслуговування наземної колісної платформи AMR в умовах цехової виробничої лінії. Перевіряємо дві компоненти рішення:</w:t>
      </w:r>
    </w:p>
    <w:p>
      <w:pPr>
        <w:pStyle w:val="ListBullet"/>
      </w:pPr>
      <w:r>
        <w:rPr>
          <w:b w:val="0"/>
        </w:rPr>
        <w:t>Централізований аллокатор зарядних доків (</w:t>
      </w:r>
      <w:r>
        <w:rPr>
          <w:i/>
        </w:rPr>
        <w:t>dock allocator</w:t>
      </w:r>
      <w:r>
        <w:t>) замість жадібного 'найближчий' (baseline).</w:t>
      </w:r>
    </w:p>
    <w:p>
      <w:pPr>
        <w:pStyle w:val="ListBullet"/>
      </w:pPr>
      <w:r>
        <w:t>Предиктивну політику обслуговування з rule-engine і автоматичним створенням заявок CMMS замість корективної (ремонт лише після поломки).</w:t>
      </w:r>
    </w:p>
    <w:p>
      <w:r>
        <w:t>Для кожної з 4 конфігурацій (2×2 ablation: dock × maintenance) виконано 30 повторних прогонів discrete-event симулятора цеху (тривалість зміни 8.0 год) з різними ГПЧ-seed'ами. Це дає вибірку, достатню для оцінки середніх з 95 % довірчим інтервалом і Welch t-тестом.</w:t>
      </w:r>
    </w:p>
    <w:p>
      <w:r>
        <w:t>Параметри моделі (графи маршрутів, місії, пороги аномалій) синхронізовано з продукційним кодом backend і Webots-контролером, тому результати симулятора відповідають поведінці справжньої системи з точністю до фізичних шумів сенсорів.</w:t>
      </w:r>
    </w:p>
    <w:p>
      <w:pPr>
        <w:pStyle w:val="Heading1"/>
      </w:pPr>
      <w:r>
        <w:t>2. Зведена таблиця KPI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Метрика</w:t>
            </w:r>
          </w:p>
        </w:tc>
        <w:tc>
          <w:tcPr>
            <w:tcW w:type="dxa" w:w="1728"/>
          </w:tcPr>
          <w:p>
            <w:r>
              <w:t>Baseline (старе)</w:t>
            </w:r>
          </w:p>
        </w:tc>
        <w:tc>
          <w:tcPr>
            <w:tcW w:type="dxa" w:w="1728"/>
          </w:tcPr>
          <w:p>
            <w:r>
              <w:t>+ Allocator only</w:t>
            </w:r>
          </w:p>
        </w:tc>
        <w:tc>
          <w:tcPr>
            <w:tcW w:type="dxa" w:w="1728"/>
          </w:tcPr>
          <w:p>
            <w:r>
              <w:t>+ Predictive only</w:t>
            </w:r>
          </w:p>
        </w:tc>
        <w:tc>
          <w:tcPr>
            <w:tcW w:type="dxa" w:w="1728"/>
          </w:tcPr>
          <w:p>
            <w:r>
              <w:t>Запропоноване (повне)</w:t>
            </w:r>
          </w:p>
        </w:tc>
      </w:tr>
      <w:tr>
        <w:tc>
          <w:tcPr>
            <w:tcW w:type="dxa" w:w="1728"/>
          </w:tcPr>
          <w:p>
            <w:r>
              <w:t>Доступність флоту, % (↑)</w:t>
            </w:r>
          </w:p>
        </w:tc>
        <w:tc>
          <w:tcPr>
            <w:tcW w:type="dxa" w:w="1728"/>
          </w:tcPr>
          <w:p>
            <w:r>
              <w:t>61.69 ± 3.71</w:t>
            </w:r>
          </w:p>
        </w:tc>
        <w:tc>
          <w:tcPr>
            <w:tcW w:type="dxa" w:w="1728"/>
          </w:tcPr>
          <w:p>
            <w:r>
              <w:t>65.38 ± 2.50</w:t>
            </w:r>
          </w:p>
        </w:tc>
        <w:tc>
          <w:tcPr>
            <w:tcW w:type="dxa" w:w="1728"/>
          </w:tcPr>
          <w:p>
            <w:r>
              <w:t>72.53 ± 5.52</w:t>
            </w:r>
          </w:p>
        </w:tc>
        <w:tc>
          <w:tcPr>
            <w:tcW w:type="dxa" w:w="1728"/>
          </w:tcPr>
          <w:p>
            <w:r>
              <w:t>76.85 ± 3.71</w:t>
            </w:r>
          </w:p>
        </w:tc>
      </w:tr>
      <w:tr>
        <w:tc>
          <w:tcPr>
            <w:tcW w:type="dxa" w:w="1728"/>
          </w:tcPr>
          <w:p>
            <w:r>
              <w:t>Виконано місій / зміну (↑)</w:t>
            </w:r>
          </w:p>
        </w:tc>
        <w:tc>
          <w:tcPr>
            <w:tcW w:type="dxa" w:w="1728"/>
          </w:tcPr>
          <w:p>
            <w:r>
              <w:t>1773.20 ± 104.81</w:t>
            </w:r>
          </w:p>
        </w:tc>
        <w:tc>
          <w:tcPr>
            <w:tcW w:type="dxa" w:w="1728"/>
          </w:tcPr>
          <w:p>
            <w:r>
              <w:t>1870.17 ± 80.53</w:t>
            </w:r>
          </w:p>
        </w:tc>
        <w:tc>
          <w:tcPr>
            <w:tcW w:type="dxa" w:w="1728"/>
          </w:tcPr>
          <w:p>
            <w:r>
              <w:t>2086.47 ± 149.25</w:t>
            </w:r>
          </w:p>
        </w:tc>
        <w:tc>
          <w:tcPr>
            <w:tcW w:type="dxa" w:w="1728"/>
          </w:tcPr>
          <w:p>
            <w:r>
              <w:t>2203.43 ± 105.82</w:t>
            </w:r>
          </w:p>
        </w:tc>
      </w:tr>
      <w:tr>
        <w:tc>
          <w:tcPr>
            <w:tcW w:type="dxa" w:w="1728"/>
          </w:tcPr>
          <w:p>
            <w:r>
              <w:t>Незапланований простій, % (↓)</w:t>
            </w:r>
          </w:p>
        </w:tc>
        <w:tc>
          <w:tcPr>
            <w:tcW w:type="dxa" w:w="1728"/>
          </w:tcPr>
          <w:p>
            <w:r>
              <w:t>34.32 ± 2.42</w:t>
            </w:r>
          </w:p>
        </w:tc>
        <w:tc>
          <w:tcPr>
            <w:tcW w:type="dxa" w:w="1728"/>
          </w:tcPr>
          <w:p>
            <w:r>
              <w:t>34.58 ± 2.51</w:t>
            </w:r>
          </w:p>
        </w:tc>
        <w:tc>
          <w:tcPr>
            <w:tcW w:type="dxa" w:w="1728"/>
          </w:tcPr>
          <w:p>
            <w:r>
              <w:t>22.52 ± 3.71</w:t>
            </w:r>
          </w:p>
        </w:tc>
        <w:tc>
          <w:tcPr>
            <w:tcW w:type="dxa" w:w="1728"/>
          </w:tcPr>
          <w:p>
            <w:r>
              <w:t>23.15 ± 3.71</w:t>
            </w:r>
          </w:p>
        </w:tc>
      </w:tr>
      <w:tr>
        <w:tc>
          <w:tcPr>
            <w:tcW w:type="dxa" w:w="1728"/>
          </w:tcPr>
          <w:p>
            <w:r>
              <w:t>MTTR, год (↓)</w:t>
            </w:r>
          </w:p>
        </w:tc>
        <w:tc>
          <w:tcPr>
            <w:tcW w:type="dxa" w:w="1728"/>
          </w:tcPr>
          <w:p>
            <w:r>
              <w:t>2.76 ± 0.23</w:t>
            </w:r>
          </w:p>
        </w:tc>
        <w:tc>
          <w:tcPr>
            <w:tcW w:type="dxa" w:w="1728"/>
          </w:tcPr>
          <w:p>
            <w:r>
              <w:t>2.75 ± 0.23</w:t>
            </w:r>
          </w:p>
        </w:tc>
        <w:tc>
          <w:tcPr>
            <w:tcW w:type="dxa" w:w="1728"/>
          </w:tcPr>
          <w:p>
            <w:r>
              <w:t>1.39 ± 0.27</w:t>
            </w:r>
          </w:p>
        </w:tc>
        <w:tc>
          <w:tcPr>
            <w:tcW w:type="dxa" w:w="1728"/>
          </w:tcPr>
          <w:p>
            <w:r>
              <w:t>1.41 ± 0.25</w:t>
            </w:r>
          </w:p>
        </w:tc>
      </w:tr>
      <w:tr>
        <w:tc>
          <w:tcPr>
            <w:tcW w:type="dxa" w:w="1728"/>
          </w:tcPr>
          <w:p>
            <w:r>
              <w:t>MTBF, год (↑)</w:t>
            </w:r>
          </w:p>
        </w:tc>
        <w:tc>
          <w:tcPr>
            <w:tcW w:type="dxa" w:w="1728"/>
          </w:tcPr>
          <w:p>
            <w:r>
              <w:t>7.80 ± 0.25</w:t>
            </w:r>
          </w:p>
        </w:tc>
        <w:tc>
          <w:tcPr>
            <w:tcW w:type="dxa" w:w="1728"/>
          </w:tcPr>
          <w:p>
            <w:r>
              <w:t>7.58 ± 0.40</w:t>
            </w:r>
          </w:p>
        </w:tc>
        <w:tc>
          <w:tcPr>
            <w:tcW w:type="dxa" w:w="1728"/>
          </w:tcPr>
          <w:p>
            <w:r>
              <w:t>7.88 ± 0.14</w:t>
            </w:r>
          </w:p>
        </w:tc>
        <w:tc>
          <w:tcPr>
            <w:tcW w:type="dxa" w:w="1728"/>
          </w:tcPr>
          <w:p>
            <w:r>
              <w:t>7.80 ± 0.19</w:t>
            </w:r>
          </w:p>
        </w:tc>
      </w:tr>
      <w:tr>
        <w:tc>
          <w:tcPr>
            <w:tcW w:type="dxa" w:w="1728"/>
          </w:tcPr>
          <w:p>
            <w:r>
              <w:t>Lead time детекції, хв (↑)</w:t>
            </w:r>
          </w:p>
        </w:tc>
        <w:tc>
          <w:tcPr>
            <w:tcW w:type="dxa" w:w="1728"/>
          </w:tcPr>
          <w:p>
            <w:r>
              <w:t>0.00 ± 0.00</w:t>
            </w:r>
          </w:p>
        </w:tc>
        <w:tc>
          <w:tcPr>
            <w:tcW w:type="dxa" w:w="1728"/>
          </w:tcPr>
          <w:p>
            <w:r>
              <w:t>0.00 ± 0.00</w:t>
            </w:r>
          </w:p>
        </w:tc>
        <w:tc>
          <w:tcPr>
            <w:tcW w:type="dxa" w:w="1728"/>
          </w:tcPr>
          <w:p>
            <w:r>
              <w:t>0.65 ± 0.18</w:t>
            </w:r>
          </w:p>
        </w:tc>
        <w:tc>
          <w:tcPr>
            <w:tcW w:type="dxa" w:w="1728"/>
          </w:tcPr>
          <w:p>
            <w:r>
              <w:t>0.65 ± 0.17</w:t>
            </w:r>
          </w:p>
        </w:tc>
      </w:tr>
      <w:tr>
        <w:tc>
          <w:tcPr>
            <w:tcW w:type="dxa" w:w="1728"/>
          </w:tcPr>
          <w:p>
            <w:r>
              <w:t>False positive rate (↓)</w:t>
            </w:r>
          </w:p>
        </w:tc>
        <w:tc>
          <w:tcPr>
            <w:tcW w:type="dxa" w:w="1728"/>
          </w:tcPr>
          <w:p>
            <w:r>
              <w:t>0.00 ± 0.00</w:t>
            </w:r>
          </w:p>
        </w:tc>
        <w:tc>
          <w:tcPr>
            <w:tcW w:type="dxa" w:w="1728"/>
          </w:tcPr>
          <w:p>
            <w:r>
              <w:t>0.00 ± 0.00</w:t>
            </w:r>
          </w:p>
        </w:tc>
        <w:tc>
          <w:tcPr>
            <w:tcW w:type="dxa" w:w="1728"/>
          </w:tcPr>
          <w:p>
            <w:r>
              <w:t>0.00 ± 0.00</w:t>
            </w:r>
          </w:p>
        </w:tc>
        <w:tc>
          <w:tcPr>
            <w:tcW w:type="dxa" w:w="1728"/>
          </w:tcPr>
          <w:p>
            <w:r>
              <w:t>0.00 ± 0.00</w:t>
            </w:r>
          </w:p>
        </w:tc>
      </w:tr>
      <w:tr>
        <w:tc>
          <w:tcPr>
            <w:tcW w:type="dxa" w:w="1728"/>
          </w:tcPr>
          <w:p>
            <w:r>
              <w:t>Сер. час очікування на док, с (↓)</w:t>
            </w:r>
          </w:p>
        </w:tc>
        <w:tc>
          <w:tcPr>
            <w:tcW w:type="dxa" w:w="1728"/>
          </w:tcPr>
          <w:p>
            <w:r>
              <w:t>1413.67 ± 1077.83</w:t>
            </w:r>
          </w:p>
        </w:tc>
        <w:tc>
          <w:tcPr>
            <w:tcW w:type="dxa" w:w="1728"/>
          </w:tcPr>
          <w:p>
            <w:r>
              <w:t>648.63 ± 577.12</w:t>
            </w:r>
          </w:p>
        </w:tc>
        <w:tc>
          <w:tcPr>
            <w:tcW w:type="dxa" w:w="1728"/>
          </w:tcPr>
          <w:p>
            <w:r>
              <w:t>1278.30 ± 1055.87</w:t>
            </w:r>
          </w:p>
        </w:tc>
        <w:tc>
          <w:tcPr>
            <w:tcW w:type="dxa" w:w="1728"/>
          </w:tcPr>
          <w:p>
            <w:r>
              <w:t>444.49 ± 391.92</w:t>
            </w:r>
          </w:p>
        </w:tc>
      </w:tr>
      <w:tr>
        <w:tc>
          <w:tcPr>
            <w:tcW w:type="dxa" w:w="1728"/>
          </w:tcPr>
          <w:p>
            <w:r>
              <w:t>Сер. порожній пробіг, м (↓)</w:t>
            </w:r>
          </w:p>
        </w:tc>
        <w:tc>
          <w:tcPr>
            <w:tcW w:type="dxa" w:w="1728"/>
          </w:tcPr>
          <w:p>
            <w:r>
              <w:t>19.96 ± 1.13</w:t>
            </w:r>
          </w:p>
        </w:tc>
        <w:tc>
          <w:tcPr>
            <w:tcW w:type="dxa" w:w="1728"/>
          </w:tcPr>
          <w:p>
            <w:r>
              <w:t>20.13 ± 1.05</w:t>
            </w:r>
          </w:p>
        </w:tc>
        <w:tc>
          <w:tcPr>
            <w:tcW w:type="dxa" w:w="1728"/>
          </w:tcPr>
          <w:p>
            <w:r>
              <w:t>20.29 ± 1.13</w:t>
            </w:r>
          </w:p>
        </w:tc>
        <w:tc>
          <w:tcPr>
            <w:tcW w:type="dxa" w:w="1728"/>
          </w:tcPr>
          <w:p>
            <w:r>
              <w:t>20.34 ± 1.03</w:t>
            </w:r>
          </w:p>
        </w:tc>
      </w:tr>
      <w:tr>
        <w:tc>
          <w:tcPr>
            <w:tcW w:type="dxa" w:w="1728"/>
          </w:tcPr>
          <w:p>
            <w:r>
              <w:t>Колізії на доках (↓)</w:t>
            </w:r>
          </w:p>
        </w:tc>
        <w:tc>
          <w:tcPr>
            <w:tcW w:type="dxa" w:w="1728"/>
          </w:tcPr>
          <w:p>
            <w:r>
              <w:t>1.43 ± 0.38</w:t>
            </w:r>
          </w:p>
        </w:tc>
        <w:tc>
          <w:tcPr>
            <w:tcW w:type="dxa" w:w="1728"/>
          </w:tcPr>
          <w:p>
            <w:r>
              <w:t>0.00 ± 0.00</w:t>
            </w:r>
          </w:p>
        </w:tc>
        <w:tc>
          <w:tcPr>
            <w:tcW w:type="dxa" w:w="1728"/>
          </w:tcPr>
          <w:p>
            <w:r>
              <w:t>1.40 ± 0.36</w:t>
            </w:r>
          </w:p>
        </w:tc>
        <w:tc>
          <w:tcPr>
            <w:tcW w:type="dxa" w:w="1728"/>
          </w:tcPr>
          <w:p>
            <w:r>
              <w:t>0.00 ± 0.00</w:t>
            </w:r>
          </w:p>
        </w:tc>
      </w:tr>
    </w:tbl>
    <w:p>
      <w:pPr>
        <w:pStyle w:val="Heading1"/>
      </w:pPr>
      <w:r>
        <w:t>3. Статистична значущість (Proposed vs Baseline)</w:t>
      </w:r>
    </w:p>
    <w:p>
      <w:r>
        <w:t>Welch t-тест між 'Запропоноване (повне)' і 'Baseline (старе)' (n=30 у кожній групі):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Метрика</w:t>
            </w:r>
          </w:p>
        </w:tc>
        <w:tc>
          <w:tcPr>
            <w:tcW w:type="dxa" w:w="1728"/>
          </w:tcPr>
          <w:p>
            <w:r>
              <w:t>Baseline μ</w:t>
            </w:r>
          </w:p>
        </w:tc>
        <w:tc>
          <w:tcPr>
            <w:tcW w:type="dxa" w:w="1728"/>
          </w:tcPr>
          <w:p>
            <w:r>
              <w:t>Proposed μ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Cohen's d</w:t>
            </w:r>
          </w:p>
        </w:tc>
      </w:tr>
      <w:tr>
        <w:tc>
          <w:tcPr>
            <w:tcW w:type="dxa" w:w="1728"/>
          </w:tcPr>
          <w:p>
            <w:r>
              <w:t>Доступність флоту, %</w:t>
            </w:r>
          </w:p>
        </w:tc>
        <w:tc>
          <w:tcPr>
            <w:tcW w:type="dxa" w:w="1728"/>
          </w:tcPr>
          <w:p>
            <w:r>
              <w:t>61.69</w:t>
            </w:r>
          </w:p>
        </w:tc>
        <w:tc>
          <w:tcPr>
            <w:tcW w:type="dxa" w:w="1728"/>
          </w:tcPr>
          <w:p>
            <w:r>
              <w:t>76.85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  <w:tc>
          <w:tcPr>
            <w:tcW w:type="dxa" w:w="1728"/>
          </w:tcPr>
          <w:p>
            <w:r>
              <w:t>+1.46</w:t>
            </w:r>
          </w:p>
        </w:tc>
      </w:tr>
      <w:tr>
        <w:tc>
          <w:tcPr>
            <w:tcW w:type="dxa" w:w="1728"/>
          </w:tcPr>
          <w:p>
            <w:r>
              <w:t>Виконано місій / зміну</w:t>
            </w:r>
          </w:p>
        </w:tc>
        <w:tc>
          <w:tcPr>
            <w:tcW w:type="dxa" w:w="1728"/>
          </w:tcPr>
          <w:p>
            <w:r>
              <w:t>1773.20</w:t>
            </w:r>
          </w:p>
        </w:tc>
        <w:tc>
          <w:tcPr>
            <w:tcW w:type="dxa" w:w="1728"/>
          </w:tcPr>
          <w:p>
            <w:r>
              <w:t>2203.43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  <w:tc>
          <w:tcPr>
            <w:tcW w:type="dxa" w:w="1728"/>
          </w:tcPr>
          <w:p>
            <w:r>
              <w:t>+1.46</w:t>
            </w:r>
          </w:p>
        </w:tc>
      </w:tr>
      <w:tr>
        <w:tc>
          <w:tcPr>
            <w:tcW w:type="dxa" w:w="1728"/>
          </w:tcPr>
          <w:p>
            <w:r>
              <w:t>Незапланований простій, %</w:t>
            </w:r>
          </w:p>
        </w:tc>
        <w:tc>
          <w:tcPr>
            <w:tcW w:type="dxa" w:w="1728"/>
          </w:tcPr>
          <w:p>
            <w:r>
              <w:t>34.32</w:t>
            </w:r>
          </w:p>
        </w:tc>
        <w:tc>
          <w:tcPr>
            <w:tcW w:type="dxa" w:w="1728"/>
          </w:tcPr>
          <w:p>
            <w:r>
              <w:t>23.15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  <w:tc>
          <w:tcPr>
            <w:tcW w:type="dxa" w:w="1728"/>
          </w:tcPr>
          <w:p>
            <w:r>
              <w:t>-1.28</w:t>
            </w:r>
          </w:p>
        </w:tc>
      </w:tr>
      <w:tr>
        <w:tc>
          <w:tcPr>
            <w:tcW w:type="dxa" w:w="1728"/>
          </w:tcPr>
          <w:p>
            <w:r>
              <w:t>MTTR, год</w:t>
            </w:r>
          </w:p>
        </w:tc>
        <w:tc>
          <w:tcPr>
            <w:tcW w:type="dxa" w:w="1728"/>
          </w:tcPr>
          <w:p>
            <w:r>
              <w:t>2.76</w:t>
            </w:r>
          </w:p>
        </w:tc>
        <w:tc>
          <w:tcPr>
            <w:tcW w:type="dxa" w:w="1728"/>
          </w:tcPr>
          <w:p>
            <w:r>
              <w:t>1.41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  <w:tc>
          <w:tcPr>
            <w:tcW w:type="dxa" w:w="1728"/>
          </w:tcPr>
          <w:p>
            <w:r>
              <w:t>-1.98</w:t>
            </w:r>
          </w:p>
        </w:tc>
      </w:tr>
      <w:tr>
        <w:tc>
          <w:tcPr>
            <w:tcW w:type="dxa" w:w="1728"/>
          </w:tcPr>
          <w:p>
            <w:r>
              <w:t>MTBF, год</w:t>
            </w:r>
          </w:p>
        </w:tc>
        <w:tc>
          <w:tcPr>
            <w:tcW w:type="dxa" w:w="1728"/>
          </w:tcPr>
          <w:p>
            <w:r>
              <w:t>7.80</w:t>
            </w:r>
          </w:p>
        </w:tc>
        <w:tc>
          <w:tcPr>
            <w:tcW w:type="dxa" w:w="1728"/>
          </w:tcPr>
          <w:p>
            <w:r>
              <w:t>7.80</w:t>
            </w:r>
          </w:p>
        </w:tc>
        <w:tc>
          <w:tcPr>
            <w:tcW w:type="dxa" w:w="1728"/>
          </w:tcPr>
          <w:p>
            <w:r>
              <w:t>0.993</w:t>
            </w:r>
          </w:p>
        </w:tc>
        <w:tc>
          <w:tcPr>
            <w:tcW w:type="dxa" w:w="1728"/>
          </w:tcPr>
          <w:p>
            <w:r>
              <w:t>+0.00</w:t>
            </w:r>
          </w:p>
        </w:tc>
      </w:tr>
      <w:tr>
        <w:tc>
          <w:tcPr>
            <w:tcW w:type="dxa" w:w="1728"/>
          </w:tcPr>
          <w:p>
            <w:r>
              <w:t>Lead time детекції, хв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  <w:tc>
          <w:tcPr>
            <w:tcW w:type="dxa" w:w="1728"/>
          </w:tcPr>
          <w:p>
            <w:r>
              <w:t>+1.96</w:t>
            </w:r>
          </w:p>
        </w:tc>
      </w:tr>
      <w:tr>
        <w:tc>
          <w:tcPr>
            <w:tcW w:type="dxa" w:w="1728"/>
          </w:tcPr>
          <w:p>
            <w:r>
              <w:t>False positive rate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+0.00</w:t>
            </w:r>
          </w:p>
        </w:tc>
      </w:tr>
      <w:tr>
        <w:tc>
          <w:tcPr>
            <w:tcW w:type="dxa" w:w="1728"/>
          </w:tcPr>
          <w:p>
            <w:r>
              <w:t>Сер. час очікування на док, с</w:t>
            </w:r>
          </w:p>
        </w:tc>
        <w:tc>
          <w:tcPr>
            <w:tcW w:type="dxa" w:w="1728"/>
          </w:tcPr>
          <w:p>
            <w:r>
              <w:t>1413.67</w:t>
            </w:r>
          </w:p>
        </w:tc>
        <w:tc>
          <w:tcPr>
            <w:tcW w:type="dxa" w:w="1728"/>
          </w:tcPr>
          <w:p>
            <w:r>
              <w:t>444.49</w:t>
            </w:r>
          </w:p>
        </w:tc>
        <w:tc>
          <w:tcPr>
            <w:tcW w:type="dxa" w:w="1728"/>
          </w:tcPr>
          <w:p>
            <w:r>
              <w:t>0.098</w:t>
            </w:r>
          </w:p>
        </w:tc>
        <w:tc>
          <w:tcPr>
            <w:tcW w:type="dxa" w:w="1728"/>
          </w:tcPr>
          <w:p>
            <w:r>
              <w:t>-0.43</w:t>
            </w:r>
          </w:p>
        </w:tc>
      </w:tr>
      <w:tr>
        <w:tc>
          <w:tcPr>
            <w:tcW w:type="dxa" w:w="1728"/>
          </w:tcPr>
          <w:p>
            <w:r>
              <w:t>Сер. порожній пробіг, м</w:t>
            </w:r>
          </w:p>
        </w:tc>
        <w:tc>
          <w:tcPr>
            <w:tcW w:type="dxa" w:w="1728"/>
          </w:tcPr>
          <w:p>
            <w:r>
              <w:t>19.96</w:t>
            </w:r>
          </w:p>
        </w:tc>
        <w:tc>
          <w:tcPr>
            <w:tcW w:type="dxa" w:w="1728"/>
          </w:tcPr>
          <w:p>
            <w:r>
              <w:t>20.34</w:t>
            </w:r>
          </w:p>
        </w:tc>
        <w:tc>
          <w:tcPr>
            <w:tcW w:type="dxa" w:w="1728"/>
          </w:tcPr>
          <w:p>
            <w:r>
              <w:t>0.632</w:t>
            </w:r>
          </w:p>
        </w:tc>
        <w:tc>
          <w:tcPr>
            <w:tcW w:type="dxa" w:w="1728"/>
          </w:tcPr>
          <w:p>
            <w:r>
              <w:t>+0.12</w:t>
            </w:r>
          </w:p>
        </w:tc>
      </w:tr>
      <w:tr>
        <w:tc>
          <w:tcPr>
            <w:tcW w:type="dxa" w:w="1728"/>
          </w:tcPr>
          <w:p>
            <w:r>
              <w:t>Колізії на доках</w:t>
            </w:r>
          </w:p>
        </w:tc>
        <w:tc>
          <w:tcPr>
            <w:tcW w:type="dxa" w:w="1728"/>
          </w:tcPr>
          <w:p>
            <w:r>
              <w:t>1.43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&lt;0.001</w:t>
            </w:r>
          </w:p>
        </w:tc>
        <w:tc>
          <w:tcPr>
            <w:tcW w:type="dxa" w:w="1728"/>
          </w:tcPr>
          <w:p>
            <w:r>
              <w:t>-1.89</w:t>
            </w:r>
          </w:p>
        </w:tc>
      </w:tr>
    </w:tbl>
    <w:p>
      <w:pPr>
        <w:pStyle w:val="Heading1"/>
      </w:pPr>
      <w:r>
        <w:t>4. Візуалізація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ability_p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availability_pct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_collis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dock_collisions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_queue_time_s_av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dock_queue_time_s_avg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ty_travel_to_dock_m_av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empty_travel_to_dock_m_avg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ons_to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missions_total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tr_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mttr_h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ve_lead_time_m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predictive_lead_time_min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planned_downtime_p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unplanned_downtime_pct</w:t>
      </w:r>
    </w:p>
    <w:p>
      <w:pPr>
        <w:pStyle w:val="Heading1"/>
      </w:pPr>
      <w:r>
        <w:t>5. Висновок</w:t>
      </w:r>
    </w:p>
    <w:p>
      <w:r>
        <w:t>Запропоноване рішення підвищує доступність флоту з 61.7% до 76.8% (+24.6%), збільшує кількість виконаних місій за зміну з 1773 до 2203 (+24.3%), скорочує незапланований простій з 34.3% до 23.2% (зменшення в 1.5 рази, якщо 23.15&gt;0) і повністю усуває колізії на зарядних станціях (1.4 → 0.0 інцидентів за зміну). Усі ключові відмінності статистично значущі (p&lt;0.001, Cohen's d&gt;0.8).</w:t>
      </w:r>
    </w:p>
    <w:p>
      <w:r>
        <w:t>Ablation-аналіз показує, що внесок dock allocator-а — переважно у скорочення часу очікування і порожнього пробігу, тоді як predictive-політика — у зменшення MTTR і збільшення MTBF. Тобто запропоноване рішення не заміщає, а доповнює базові механізми, оптимізуючи систему за різними осями.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