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МІНІСТЕРСТВО ОБОРОНИ УКРАЇНИ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ВІЙСЬКОВИЙ ІНСТИТУТ ТЕЛЕКОМУНІКАЦІЙ ТА ІНФОРМАТИЗАЦІЇ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КІБЕРЗАХИСТУ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про виконання практичної роботи: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з дисципліни «Прикладна криптологія»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Заняття № 3/19. Дослідження криптостійкості DES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РОБОТА З WEB-ДОДАТКОМ CYBERCHEF.IO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ab/>
        <w:tab/>
        <w:tab/>
        <w:t xml:space="preserve">Виконав: курсант навчальної групи 314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сержант _____________Коханевич Є.Ю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24.04.2024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Перевiрив:  викладач кафедри № 33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капітан ____________Прийма О.О.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Київ – 2024 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Висновок:Після аналізу таблиці можна зробити кілька висновків: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Заміна першої та останньої букв у текстах впливає на кінцевий шифротекст у залежності від типу шифрування і режиму. Наприклад, у режимі ECB заміна першої букви у відкритому тексті призведе до повної зміни блока шифрування, тому весь блок шифрування буде різним. У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режимах CBC, CFB, OFB та CTR зміна першої букви вплине лише на відповідний блок шифрування.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Отже, таблиця демонструє різні результати шифрування в різних режимах та різницю у величині шифртексту в залежності від режиму шифрування та довжини відкритого тексту.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