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Leading cause of death in nc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Top 3 for deaths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Mississippi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Alabama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West Virginia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Bot 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California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Minnesota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Hawaii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