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Парсер данных из 1С на сайт под управлением 1С-Битрикс.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Адрес песочницы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http://hackathon.leikozu.net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Админка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http://hackathon.leikozu.net/bitrix/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paxgez-Qeztyq-dutpi9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ФТП/SSH: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leikozunet.beget.tech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leikozunet_hack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oL0*OMG6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Входные данные: папки с файлами в формате txt (файлы обмена с 1С), предполагается, что парсер будет делать обход этих папок, проверять на наличие новых файлов и в случае обнаружения парсить данные. Нас интересуют только платежки, где плательщик любой кроме Фонд борьбы с лейкемией. </w:t>
      </w:r>
      <w:r w:rsidDel="00000000" w:rsidR="00000000" w:rsidRPr="00000000">
        <w:rPr>
          <w:b w:val="1"/>
          <w:rtl w:val="0"/>
        </w:rPr>
        <w:t xml:space="preserve">Также не загружаем следующие платежи (это платежи с сайта + смс)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“</w:t>
      </w:r>
      <w:r w:rsidDel="00000000" w:rsidR="00000000" w:rsidRPr="00000000">
        <w:rPr>
          <w:i w:val="1"/>
          <w:rtl w:val="0"/>
        </w:rPr>
        <w:t xml:space="preserve">АО "ТИНЬКОФФ БАНК" и </w:t>
      </w:r>
      <w:r w:rsidDel="00000000" w:rsidR="00000000" w:rsidRPr="00000000">
        <w:rPr>
          <w:rtl w:val="0"/>
        </w:rPr>
        <w:t xml:space="preserve">"НазначениеПлатежа" содержит “</w:t>
      </w:r>
      <w:r w:rsidDel="00000000" w:rsidR="00000000" w:rsidRPr="00000000">
        <w:rPr>
          <w:i w:val="1"/>
          <w:rtl w:val="0"/>
        </w:rPr>
        <w:t xml:space="preserve">Перевод средств по договору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ind w:left="720" w:hanging="360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"НазначениеПлатежа" содержит “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Зачисление средств по операциям с МБК (на основании реестров платежей). Мерчант №781000005512.” </w:t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а также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Поле “Плательщик” содержит “</w:t>
      </w:r>
      <w:r w:rsidDel="00000000" w:rsidR="00000000" w:rsidRPr="00000000">
        <w:rPr>
          <w:i w:val="1"/>
          <w:rtl w:val="0"/>
        </w:rPr>
        <w:t xml:space="preserve">ООО РНКО "Единая касса"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Далее полученные данные необходимо загрузить на сайт в инфоблок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Заявки (ID 4)</w:t>
        </w:r>
      </w:hyperlink>
      <w:r w:rsidDel="00000000" w:rsidR="00000000" w:rsidRPr="00000000">
        <w:rPr>
          <w:rtl w:val="0"/>
        </w:rPr>
        <w:t xml:space="preserve">, соответствие полей выгрузки и данных в базе: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Плательщик (в ряде случаев, например в выгрузке от СберБанка, ФИО нужно «очистить» от прочих данных) -&gt; пишем в свойство элемента название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Дата -&gt; стандартное свойство Дата создания (время ставим 00.00)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Сумма -&gt; свойство SUM (ID 4), передаем без копеек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Парсинг поля НазначениеПлатежа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Вначале пробуем дополнить заявку полями телефон или email.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содержит в себе номер телефона, то пишем в его в свойство PHONE (ID 1)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содержит email (знаки @ или .ru), то пишем его в свойство CODE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Адресные сборы: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Пытаемся определить как платеж на адресный сбор. В том случае если ни одна из типизаций не подходит, то отправляем как платеж на Уставную деятельность.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Поиск элементов в Битрикс по значению свойств</w:t>
        </w:r>
      </w:hyperlink>
      <w:r w:rsidDel="00000000" w:rsidR="00000000" w:rsidRPr="00000000">
        <w:rPr>
          <w:rtl w:val="0"/>
        </w:rPr>
        <w:t xml:space="preserve"> (в т.ч. названию)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Ищем возможные вхождения по имени и фамилии и пробуем сопоставить с элементами из инфоблока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Пациенты (ID 56)</w:t>
        </w:r>
      </w:hyperlink>
      <w:r w:rsidDel="00000000" w:rsidR="00000000" w:rsidRPr="00000000">
        <w:rPr>
          <w:rtl w:val="0"/>
        </w:rPr>
        <w:t xml:space="preserve">. В случае успеха получаем из этого инфоблока ID элемента, а также свойство B24_ID. 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 полученному ID элемента ищем связанный с пациентом активный сбор из инфоблока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Сборы (ID 57)</w:t>
        </w:r>
      </w:hyperlink>
      <w:r w:rsidDel="00000000" w:rsidR="00000000" w:rsidRPr="00000000">
        <w:rPr>
          <w:rtl w:val="0"/>
        </w:rPr>
        <w:t xml:space="preserve">, ищем по полю PATIENT (ID 197), в случае успеха получаем данные: ID цели (ID 194), наименование сбора (название элемента сбора) и ID сбора б24 (233). Все эти данные пишем в Заявки в соответствующие поля, где TARGET = ID цели, fundraiser_id = ID сбора б24, b24_pid = B24_ID (из инфоблока пациенты).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Также заполняем следующие поля: PAY = Да, fundraiser_name = наименование сбора, полученное выше.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Также в поле Назначение платежа в дальнейшем будет публиковаться ID сбора вида FBLXXXX (где XXXX это номер сбора). При нахождении такого ID следует выполнить поиск по сборам и получить нужную информацию.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Типизация платежей (данные для поля Платежная система)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Ниже будут представлены условия и значение (выделено </w:t>
      </w:r>
      <w:r w:rsidDel="00000000" w:rsidR="00000000" w:rsidRPr="00000000">
        <w:rPr>
          <w:b w:val="1"/>
          <w:rtl w:val="0"/>
        </w:rPr>
        <w:t xml:space="preserve">жирным</w:t>
      </w:r>
      <w:r w:rsidDel="00000000" w:rsidR="00000000" w:rsidRPr="00000000">
        <w:rPr>
          <w:rtl w:val="0"/>
        </w:rPr>
        <w:t xml:space="preserve">), которые требуется записать в поле Платежная система  (ID 8, код TYPE) инфоблока Заявки.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Мерч: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“</w:t>
      </w:r>
      <w:r w:rsidDel="00000000" w:rsidR="00000000" w:rsidRPr="00000000">
        <w:rPr>
          <w:i w:val="1"/>
          <w:rtl w:val="0"/>
        </w:rPr>
        <w:t xml:space="preserve">АНО Такие дела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“</w:t>
      </w:r>
      <w:r w:rsidDel="00000000" w:rsidR="00000000" w:rsidRPr="00000000">
        <w:rPr>
          <w:i w:val="1"/>
          <w:rtl w:val="0"/>
        </w:rPr>
        <w:t xml:space="preserve">Купишуз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“</w:t>
      </w:r>
      <w:r w:rsidDel="00000000" w:rsidR="00000000" w:rsidRPr="00000000">
        <w:rPr>
          <w:i w:val="1"/>
          <w:rtl w:val="0"/>
        </w:rPr>
        <w:t xml:space="preserve">Интернет Решения</w:t>
      </w:r>
      <w:r w:rsidDel="00000000" w:rsidR="00000000" w:rsidRPr="00000000">
        <w:rPr>
          <w:rtl w:val="0"/>
        </w:rPr>
        <w:t xml:space="preserve">” и поле "НазначениеПлатежа" содержит “</w:t>
      </w:r>
      <w:r w:rsidDel="00000000" w:rsidR="00000000" w:rsidRPr="00000000">
        <w:rPr>
          <w:i w:val="1"/>
          <w:rtl w:val="0"/>
        </w:rPr>
        <w:t xml:space="preserve">Договор КОМИСС ИР-77449/21 от 07.09.2021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“</w:t>
      </w:r>
      <w:r w:rsidDel="00000000" w:rsidR="00000000" w:rsidRPr="00000000">
        <w:rPr>
          <w:i w:val="1"/>
          <w:rtl w:val="0"/>
        </w:rPr>
        <w:t xml:space="preserve">АО "ТИНЬКОФФ БАНК"</w:t>
      </w:r>
      <w:r w:rsidDel="00000000" w:rsidR="00000000" w:rsidRPr="00000000">
        <w:rPr>
          <w:rtl w:val="0"/>
        </w:rPr>
        <w:t xml:space="preserve"> с основанием “</w:t>
      </w:r>
      <w:r w:rsidDel="00000000" w:rsidR="00000000" w:rsidRPr="00000000">
        <w:rPr>
          <w:i w:val="1"/>
          <w:rtl w:val="0"/>
        </w:rPr>
        <w:t xml:space="preserve">Перевод средств по договору № 201509-2691 от 19.05.2022 по Реестру Операций по продаже товаров и услуг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“АО "ТИНЬКОФФ БАНК" и поле "НазначениеПлатежа" содержит “Терминал CF LEUKEMIA FOUNDATION”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ФЛ: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любое </w:t>
      </w:r>
      <w:r w:rsidDel="00000000" w:rsidR="00000000" w:rsidRPr="00000000">
        <w:rPr>
          <w:i w:val="1"/>
          <w:rtl w:val="0"/>
        </w:rPr>
        <w:t xml:space="preserve">ФИО физического лица </w:t>
      </w:r>
      <w:r w:rsidDel="00000000" w:rsidR="00000000" w:rsidRPr="00000000">
        <w:rPr>
          <w:rtl w:val="0"/>
        </w:rPr>
        <w:t xml:space="preserve">и поле "НазначениеПлатежа" содержит “</w:t>
      </w:r>
      <w:r w:rsidDel="00000000" w:rsidR="00000000" w:rsidRPr="00000000">
        <w:rPr>
          <w:i w:val="1"/>
          <w:rtl w:val="0"/>
        </w:rPr>
        <w:t xml:space="preserve">Благотворительное пожертвование на уставную деятельность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любое </w:t>
      </w:r>
      <w:r w:rsidDel="00000000" w:rsidR="00000000" w:rsidRPr="00000000">
        <w:rPr>
          <w:i w:val="1"/>
          <w:rtl w:val="0"/>
        </w:rPr>
        <w:t xml:space="preserve">ФИО физического лица </w:t>
      </w:r>
      <w:r w:rsidDel="00000000" w:rsidR="00000000" w:rsidRPr="00000000">
        <w:rPr>
          <w:rtl w:val="0"/>
        </w:rPr>
        <w:t xml:space="preserve">и поле “ПлательщикСчет” начинается с комбинации цифр: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40817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40820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любое </w:t>
      </w:r>
      <w:r w:rsidDel="00000000" w:rsidR="00000000" w:rsidRPr="00000000">
        <w:rPr>
          <w:i w:val="1"/>
          <w:rtl w:val="0"/>
        </w:rPr>
        <w:t xml:space="preserve">ФИО физического лица</w:t>
      </w:r>
      <w:r w:rsidDel="00000000" w:rsidR="00000000" w:rsidRPr="00000000">
        <w:rPr>
          <w:rtl w:val="0"/>
        </w:rPr>
        <w:t xml:space="preserve"> и поле "НазначениеПлатежа" содержит “</w:t>
      </w:r>
      <w:r w:rsidDel="00000000" w:rsidR="00000000" w:rsidRPr="00000000">
        <w:rPr>
          <w:i w:val="1"/>
          <w:rtl w:val="0"/>
        </w:rPr>
        <w:t xml:space="preserve">Перевод с карты *(любые 4 цифры)”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ФЛ_приложение: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Поле “Плательщик” содержит “</w:t>
      </w:r>
      <w:r w:rsidDel="00000000" w:rsidR="00000000" w:rsidRPr="00000000">
        <w:rPr>
          <w:i w:val="1"/>
          <w:rtl w:val="0"/>
        </w:rPr>
        <w:t xml:space="preserve">Филиал № 7701 Банка ВТБ (ПАО)”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ФЛ_элекснет: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Поле “Плательщик” содержит “</w:t>
      </w:r>
      <w:r w:rsidDel="00000000" w:rsidR="00000000" w:rsidRPr="00000000">
        <w:rPr>
          <w:i w:val="1"/>
          <w:highlight w:val="white"/>
          <w:rtl w:val="0"/>
        </w:rPr>
        <w:t xml:space="preserve">АО НКО "ЭЛЕКСНЕТ"</w:t>
      </w:r>
    </w:p>
    <w:p w:rsidR="00000000" w:rsidDel="00000000" w:rsidP="00000000" w:rsidRDefault="00000000" w:rsidRPr="00000000" w14:paraId="00000041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Платформа: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“Плательщик” содержит “</w:t>
      </w:r>
      <w:r w:rsidDel="00000000" w:rsidR="00000000" w:rsidRPr="00000000">
        <w:rPr>
          <w:i w:val="1"/>
          <w:rtl w:val="0"/>
        </w:rPr>
        <w:t xml:space="preserve">ООО НКО ЮМани”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“Плательщик” содержит “</w:t>
      </w:r>
      <w:r w:rsidDel="00000000" w:rsidR="00000000" w:rsidRPr="00000000">
        <w:rPr>
          <w:i w:val="1"/>
          <w:rtl w:val="0"/>
        </w:rPr>
        <w:t xml:space="preserve">ПАО "МТС-БАНК"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“Плательщик” содержит “</w:t>
      </w:r>
      <w:r w:rsidDel="00000000" w:rsidR="00000000" w:rsidRPr="00000000">
        <w:rPr>
          <w:i w:val="1"/>
          <w:rtl w:val="0"/>
        </w:rPr>
        <w:t xml:space="preserve">РНКО "ВК Платёжные решения"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Поле “Плательщик” содержит “</w:t>
      </w:r>
      <w:r w:rsidDel="00000000" w:rsidR="00000000" w:rsidRPr="00000000">
        <w:rPr>
          <w:i w:val="1"/>
          <w:rtl w:val="0"/>
        </w:rPr>
        <w:t xml:space="preserve">Филиал "Корпоративный" ПАО "Совкомбанк"</w:t>
      </w:r>
      <w:r w:rsidDel="00000000" w:rsidR="00000000" w:rsidRPr="00000000">
        <w:rPr>
          <w:rtl w:val="0"/>
        </w:rPr>
        <w:t xml:space="preserve"> и поле “НазначениеПлатежа” содержит  “Пожертвование. Зачисление по эквайрингу за”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“Плательщик” содержит “ПАО "СОВКОМБАНК” и поле “НазначениеПлатежа” содержит “Пожертвование. Зачисление соц.баллов за”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“Плательщик” содержит “</w:t>
      </w:r>
      <w:r w:rsidDel="00000000" w:rsidR="00000000" w:rsidRPr="00000000">
        <w:rPr>
          <w:i w:val="1"/>
          <w:rtl w:val="0"/>
        </w:rPr>
        <w:t xml:space="preserve">Филиал "Корпоративный" ПАО "Совкомбанк"</w:t>
      </w:r>
      <w:r w:rsidDel="00000000" w:rsidR="00000000" w:rsidRPr="00000000">
        <w:rPr>
          <w:rtl w:val="0"/>
        </w:rPr>
        <w:t xml:space="preserve"> и поле “НазначениеПлатежа” содержит “Зачисление переводов по СБП за"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“Плательщик” содержит “ООО "Нескучный город"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“Плательщик” содержит “Вклад в будущее”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“Плательщик” содержит “Милосердие”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“Плательщик” содержит “ООО "Нескучный город”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“Плательщик” содержит “АНО "КРР "МОЙ РАЙОН"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Поле “Плательщик” содержит “ПРОСТО ПОМОГИ”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Поле “ПлательщикИНН” содержит 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7702420633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Поле “Пла</w:t>
      </w:r>
      <w:r w:rsidDel="00000000" w:rsidR="00000000" w:rsidRPr="00000000">
        <w:rPr>
          <w:rtl w:val="0"/>
        </w:rPr>
        <w:t xml:space="preserve">тельщикИНН” содержит 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9702014610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БФ: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“Помощь рядом”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“КУЛЬТУРА БЛАГОТВОРИТЕЛЬНОСТИ”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Если не вошло в тип “Платформа” и не вошло в тип “Грант” и в поле “ПлательщикСчет” начинается с комбинации цифр 40703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ЮЛ_озон: 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“Интернет решения” с назначением “Договор ИР-81138/21 от 15.09.2021”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ИП/Индивидуальный предприниматель Жигулова”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ИП/Индивидуальный предприниматель Гуйда”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ЮЛ_фарма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”ПФАЙЗЕР”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“Фармстандарт”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“АФОФАРМ”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ООО "ЭббВи", ИНН: 7743855873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ООО "АСТЕЛЛАС ФАРМА ПРОДАКШЕН", ИНН: 7709948951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ООО "ДЖОНСОН &amp; ДЖОНСОН", ИНН: 7725216105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ООО "ТАКЕДА ФАРМАСЬЮТИКАЛС", ИНН: 7711067140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ООО "НОВАРТИС ФАРМА", ИНН: 7705772224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АО "РОШ-МОСКВА", ИНН: 7728055569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ООО "АСТРАЗЕНЕКА ФАРМАСЬЮТИКАЛЗ", ИНН: 7704579700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Процент: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Поле “НазначениеПлатежа” содержит “</w:t>
      </w:r>
      <w:r w:rsidDel="00000000" w:rsidR="00000000" w:rsidRPr="00000000">
        <w:rPr>
          <w:i w:val="1"/>
          <w:rtl w:val="0"/>
        </w:rPr>
        <w:t xml:space="preserve">Выплата процентов по депозиту по договору №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Поле “НазначениеПлатежа” содержит “Возврат процентов с депозита "Овернайт"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В общем случае поле “НазначениеПлатежа” содержит “процент” в любом склонении и поле “ПлательщикСчет” начинается с “42202”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Мероприятие: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“</w:t>
      </w:r>
      <w:r w:rsidDel="00000000" w:rsidR="00000000" w:rsidRPr="00000000">
        <w:rPr>
          <w:i w:val="1"/>
          <w:rtl w:val="0"/>
        </w:rPr>
        <w:t xml:space="preserve">АО "ТИНЬКОФФ БАНК</w:t>
      </w:r>
      <w:r w:rsidDel="00000000" w:rsidR="00000000" w:rsidRPr="00000000">
        <w:rPr>
          <w:rtl w:val="0"/>
        </w:rPr>
        <w:t xml:space="preserve">” и поле "НазначениеПлатежа" содержит “</w:t>
      </w:r>
      <w:r w:rsidDel="00000000" w:rsidR="00000000" w:rsidRPr="00000000">
        <w:rPr>
          <w:i w:val="1"/>
          <w:rtl w:val="0"/>
        </w:rPr>
        <w:t xml:space="preserve">Зачисление средств по терминалам эквайринга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Поле "Плательщик" содержит “АО "ТИНЬКОФФ БАНК" и поле "НазначениеПлатежа" содержит “Терминал FOND BORBY S LEIKEMIEY”</w:t>
      </w:r>
    </w:p>
    <w:p w:rsidR="00000000" w:rsidDel="00000000" w:rsidP="00000000" w:rsidRDefault="00000000" w:rsidRPr="00000000" w14:paraId="00000070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Грант: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Поле "ПлательщикИНН" содержит: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7714997129”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“5003039076”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“7703424091”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“7704253508”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“7702231587”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ЮЛ: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Всё, что не вошло в другие типы (т.е. считывается в последнюю очередь из того, что ещё не разобрано) и поле "ПлательщикСчет" начинается с комбинации цифр: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40702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40701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40802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40807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40907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hackathon.leikozu.net/bitrix/admin/iblock_edit.php?type=content&amp;lang=ru&amp;ID=57&amp;admin=Y" TargetMode="External"/><Relationship Id="rId10" Type="http://schemas.openxmlformats.org/officeDocument/2006/relationships/hyperlink" Target="http://hackathon.leikozu.net/bitrix/admin/iblock_edit.php?type=content&amp;lang=ru&amp;ID=56&amp;admin=Y" TargetMode="External"/><Relationship Id="rId9" Type="http://schemas.openxmlformats.org/officeDocument/2006/relationships/hyperlink" Target="https://dev.1c-bitrix.ru/api_help/iblock/classes/ciblockelement/getlist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hackathon.leikozu.net" TargetMode="External"/><Relationship Id="rId7" Type="http://schemas.openxmlformats.org/officeDocument/2006/relationships/hyperlink" Target="http://hackathon.leikozu.net/bitrix/" TargetMode="External"/><Relationship Id="rId8" Type="http://schemas.openxmlformats.org/officeDocument/2006/relationships/hyperlink" Target="http://hackathon.leikozu.net/bitrix/admin/iblock_edit.php?type=content&amp;lang=ru&amp;ID=4&amp;admin=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