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A276" w14:textId="77777777" w:rsidR="00B940EF" w:rsidRDefault="005A4782" w:rsidP="005A4782">
      <w:pPr>
        <w:jc w:val="center"/>
        <w:rPr>
          <w:sz w:val="36"/>
          <w:szCs w:val="36"/>
        </w:rPr>
      </w:pPr>
      <w:r w:rsidRPr="005A4782">
        <w:rPr>
          <w:sz w:val="36"/>
          <w:szCs w:val="36"/>
        </w:rPr>
        <w:t>Des risques inéquitablement répartis</w:t>
      </w:r>
    </w:p>
    <w:p w14:paraId="67763D51" w14:textId="77777777" w:rsidR="005A4782" w:rsidRDefault="005A4782" w:rsidP="005A4782"/>
    <w:p w14:paraId="3E1B2BF6" w14:textId="77777777" w:rsidR="00065BC3" w:rsidRDefault="00065BC3" w:rsidP="00065BC3">
      <w:pPr>
        <w:ind w:firstLine="708"/>
      </w:pPr>
      <w:r>
        <w:t xml:space="preserve">L’objectif du « Solar Radiation Management » est de mettre en place un système de géo-ingénierie solaire à l’échelle </w:t>
      </w:r>
      <w:r w:rsidRPr="00065BC3">
        <w:rPr>
          <w:i/>
        </w:rPr>
        <w:t>planétaire</w:t>
      </w:r>
      <w:r>
        <w:t xml:space="preserve">.  </w:t>
      </w:r>
      <w:r w:rsidRPr="00065BC3">
        <w:t xml:space="preserve">Ce projet entraine </w:t>
      </w:r>
      <w:r>
        <w:t xml:space="preserve">donc </w:t>
      </w:r>
      <w:r w:rsidRPr="00065BC3">
        <w:t xml:space="preserve">la création </w:t>
      </w:r>
      <w:r w:rsidR="0037442A">
        <w:t>d’effets de bords difficilement prévisibles dans la mesure o</w:t>
      </w:r>
      <w:r w:rsidR="00271ABB">
        <w:t>ù</w:t>
      </w:r>
      <w:r w:rsidR="0037442A">
        <w:t xml:space="preserve"> il n’existe pas d’analogue nature</w:t>
      </w:r>
      <w:r w:rsidR="00BD6216">
        <w:t>l</w:t>
      </w:r>
      <w:r w:rsidR="002878E8">
        <w:rPr>
          <w:rStyle w:val="Appelnotedebasdep"/>
        </w:rPr>
        <w:footnoteReference w:id="1"/>
      </w:r>
      <w:r w:rsidR="0037442A">
        <w:t xml:space="preserve">. </w:t>
      </w:r>
    </w:p>
    <w:p w14:paraId="33725203" w14:textId="77777777" w:rsidR="00FB6F77" w:rsidRDefault="00051B36" w:rsidP="00051B36">
      <w:r>
        <w:tab/>
        <w:t>La nécessité d</w:t>
      </w:r>
      <w:r w:rsidR="00803B26">
        <w:t>e prévoir</w:t>
      </w:r>
      <w:r>
        <w:t xml:space="preserve"> les phénomènes climatiques </w:t>
      </w:r>
      <w:r w:rsidR="00803B26">
        <w:t xml:space="preserve">futurs </w:t>
      </w:r>
      <w:r>
        <w:t>engendrés par SRM s’impose</w:t>
      </w:r>
      <w:r w:rsidR="00803B26">
        <w:t>, ce qui passe naturellement par l’étude des modèles climatiques appropriés</w:t>
      </w:r>
      <w:r>
        <w:t>. Une</w:t>
      </w:r>
      <w:r w:rsidR="00803B26">
        <w:t xml:space="preserve"> récente</w:t>
      </w:r>
      <w:r>
        <w:t xml:space="preserve"> étude scientifique a  </w:t>
      </w:r>
      <w:r w:rsidR="00803B26">
        <w:t>comparé les résultats de plusieurs modèles climatiques</w:t>
      </w:r>
      <w:r w:rsidR="00FB6F77">
        <w:t xml:space="preserve"> </w:t>
      </w:r>
      <w:r w:rsidR="00FA48B5">
        <w:t>dans un but bien précis :</w:t>
      </w:r>
      <w:r w:rsidR="00803B26">
        <w:t xml:space="preserve"> évaluer l’évolution du système climatique </w:t>
      </w:r>
      <w:r w:rsidR="00FA48B5">
        <w:t>après l’</w:t>
      </w:r>
      <w:r w:rsidR="00803B26">
        <w:t xml:space="preserve"> inject</w:t>
      </w:r>
      <w:r w:rsidR="00FA48B5">
        <w:t>ion de</w:t>
      </w:r>
      <w:r w:rsidR="00803B26">
        <w:t xml:space="preserve"> la quantité nécessaire d’aérosols dans l’atmosphère pour</w:t>
      </w:r>
      <w:r w:rsidR="003970F4">
        <w:t xml:space="preserve"> </w:t>
      </w:r>
      <w:r w:rsidR="00803B26" w:rsidRPr="003970F4">
        <w:rPr>
          <w:i/>
        </w:rPr>
        <w:t>compenser</w:t>
      </w:r>
      <w:r w:rsidR="00803B26">
        <w:t xml:space="preserve"> </w:t>
      </w:r>
      <w:r w:rsidR="00FA48B5">
        <w:t xml:space="preserve">le réchauffement dû à un </w:t>
      </w:r>
      <w:r w:rsidR="00803B26" w:rsidRPr="003970F4">
        <w:rPr>
          <w:i/>
        </w:rPr>
        <w:t>doublement</w:t>
      </w:r>
      <w:r w:rsidR="00803B26">
        <w:t xml:space="preserve"> de la concentration de CO2</w:t>
      </w:r>
      <w:r w:rsidR="002878E8">
        <w:rPr>
          <w:rStyle w:val="Appelnotedebasdep"/>
        </w:rPr>
        <w:footnoteReference w:id="2"/>
      </w:r>
      <w:r w:rsidR="00803B26">
        <w:t xml:space="preserve">. </w:t>
      </w:r>
      <w:r w:rsidR="00E428CB">
        <w:t xml:space="preserve"> </w:t>
      </w:r>
    </w:p>
    <w:p w14:paraId="43C1082B" w14:textId="77777777" w:rsidR="003003EA" w:rsidRPr="003003EA" w:rsidRDefault="003003EA" w:rsidP="00051B36">
      <w:r>
        <w:rPr>
          <w:noProof/>
        </w:rPr>
        <w:drawing>
          <wp:anchor distT="0" distB="0" distL="114300" distR="114300" simplePos="0" relativeHeight="251658240" behindDoc="1" locked="0" layoutInCell="1" allowOverlap="1" wp14:anchorId="32FA5487" wp14:editId="48899C07">
            <wp:simplePos x="0" y="0"/>
            <wp:positionH relativeFrom="margin">
              <wp:align>right</wp:align>
            </wp:positionH>
            <wp:positionV relativeFrom="paragraph">
              <wp:posOffset>1006475</wp:posOffset>
            </wp:positionV>
            <wp:extent cx="5760720" cy="2322830"/>
            <wp:effectExtent l="0" t="0" r="0" b="1270"/>
            <wp:wrapTight wrapText="bothSides">
              <wp:wrapPolygon edited="0">
                <wp:start x="0" y="0"/>
                <wp:lineTo x="0" y="21435"/>
                <wp:lineTo x="21500" y="21435"/>
                <wp:lineTo x="2150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22830"/>
                    </a:xfrm>
                    <a:prstGeom prst="rect">
                      <a:avLst/>
                    </a:prstGeom>
                    <a:noFill/>
                    <a:ln>
                      <a:noFill/>
                    </a:ln>
                  </pic:spPr>
                </pic:pic>
              </a:graphicData>
            </a:graphic>
          </wp:anchor>
        </w:drawing>
      </w:r>
      <w:r w:rsidR="00FA48B5">
        <w:t xml:space="preserve">Nous observons que </w:t>
      </w:r>
      <w:r w:rsidR="00ED67AA">
        <w:t>l’objectif de la compensation du réchauffement est uniformément atteint. Cependant environ</w:t>
      </w:r>
      <w:r w:rsidR="00FA48B5">
        <w:t xml:space="preserve"> 0.4% de la surface terrestre émergée</w:t>
      </w:r>
      <w:r w:rsidR="00ED67AA">
        <w:t xml:space="preserve"> et non-gelée verra sa situation, relativement à l’accès à l’eau et aux précipitations extrêmes, </w:t>
      </w:r>
      <w:r w:rsidR="00ED67AA" w:rsidRPr="00E67E29">
        <w:rPr>
          <w:i/>
        </w:rPr>
        <w:t>aggravée</w:t>
      </w:r>
      <w:r w:rsidR="007A50D0">
        <w:t xml:space="preserve"> avec la mise en place de SRM</w:t>
      </w:r>
      <w:r w:rsidR="00ED67AA">
        <w:t>.</w:t>
      </w:r>
      <w:r>
        <w:t xml:space="preserve"> Cela correspond en majorité au sud-ouest de l’Amérique et au sud de l’Afrique.</w:t>
      </w:r>
      <w:r w:rsidR="00E428CB">
        <w:t xml:space="preserve"> </w:t>
      </w:r>
    </w:p>
    <w:p w14:paraId="5F63339C" w14:textId="77777777" w:rsidR="007A50D0" w:rsidRDefault="00F869AB" w:rsidP="00051B36">
      <w:proofErr w:type="spellStart"/>
      <w:r w:rsidRPr="00F869AB">
        <w:rPr>
          <w:u w:val="single"/>
        </w:rPr>
        <w:t>Fig</w:t>
      </w:r>
      <w:proofErr w:type="spellEnd"/>
      <w:r w:rsidRPr="00F869AB">
        <w:rPr>
          <w:u w:val="single"/>
        </w:rPr>
        <w:t xml:space="preserve"> 1</w:t>
      </w:r>
      <w:r>
        <w:t> : Distribution par région de l’impact de l’insertion d’aérosols pour compenser un doublement d</w:t>
      </w:r>
      <w:r w:rsidR="003003EA">
        <w:t>e la concentration de CO2 dans l’atmosphère².</w:t>
      </w:r>
    </w:p>
    <w:p w14:paraId="7BBFC747" w14:textId="77777777" w:rsidR="00E428CB" w:rsidRDefault="00E428CB" w:rsidP="00051B36"/>
    <w:p w14:paraId="074CE64F" w14:textId="77777777" w:rsidR="00494999" w:rsidRDefault="00E428CB" w:rsidP="00051B36">
      <w:pPr>
        <w:contextualSpacing/>
      </w:pPr>
      <w:r w:rsidRPr="00E428CB">
        <w:rPr>
          <w:i/>
        </w:rPr>
        <w:t>L’exposition</w:t>
      </w:r>
      <w:r>
        <w:t xml:space="preserve"> à ces problèmes climatiques, engendrés par</w:t>
      </w:r>
      <w:r w:rsidR="00E67E29">
        <w:t xml:space="preserve"> le projet de géo-ingénierie, est donc </w:t>
      </w:r>
      <w:r w:rsidR="00E67E29" w:rsidRPr="00E67E29">
        <w:rPr>
          <w:i/>
        </w:rPr>
        <w:t>inégale</w:t>
      </w:r>
      <w:r w:rsidR="00E67E29">
        <w:t xml:space="preserve">. Cela entraine des difficultés à </w:t>
      </w:r>
      <w:r w:rsidR="00E67E29" w:rsidRPr="00E67E29">
        <w:rPr>
          <w:i/>
        </w:rPr>
        <w:t>justifier</w:t>
      </w:r>
      <w:r w:rsidR="00E67E29">
        <w:t xml:space="preserve"> sa mise-en place. En effet cela va à l’encontre </w:t>
      </w:r>
      <w:r w:rsidR="00494999">
        <w:t xml:space="preserve">d’une justice climatique responsable et solidaire dans la mesure où les Etats d’Afrique et d’Amérique du sud ne sont pas les principaux influenceurs du changement climatique. </w:t>
      </w:r>
    </w:p>
    <w:p w14:paraId="51CAD6AE" w14:textId="77777777" w:rsidR="003062DC" w:rsidRDefault="00494999" w:rsidP="00051B36">
      <w:pPr>
        <w:contextualSpacing/>
      </w:pPr>
      <w:r>
        <w:t>Toutefois l</w:t>
      </w:r>
      <w:r w:rsidR="00E67E29">
        <w:t xml:space="preserve">a proportion relativement faible des régions négativement impactées ainsi que !……. !  </w:t>
      </w:r>
      <w:r w:rsidR="00E7695D">
        <w:t xml:space="preserve">peuvent, du point de vue du </w:t>
      </w:r>
      <w:r w:rsidR="00E67E29" w:rsidRPr="00494999">
        <w:rPr>
          <w:i/>
        </w:rPr>
        <w:t>besoin</w:t>
      </w:r>
      <w:r w:rsidR="00E67E29">
        <w:t xml:space="preserve"> </w:t>
      </w:r>
      <w:r w:rsidR="00E7695D">
        <w:t xml:space="preserve">planétaire </w:t>
      </w:r>
      <w:r>
        <w:t>de résoudre le problème climatique</w:t>
      </w:r>
      <w:r w:rsidR="00E7695D">
        <w:t>, légitimer le projet.</w:t>
      </w:r>
      <w:r>
        <w:t xml:space="preserve"> </w:t>
      </w:r>
    </w:p>
    <w:p w14:paraId="2C2C0D63" w14:textId="2735060F" w:rsidR="00E428CB" w:rsidRDefault="003062DC" w:rsidP="00051B36">
      <w:pPr>
        <w:contextualSpacing/>
      </w:pPr>
      <w:hyperlink r:id="rId8" w:history="1">
        <w:r>
          <w:rPr>
            <w:rStyle w:val="Lienhypertexte"/>
          </w:rPr>
          <w:t>https://geoengineering.environment.harvard.edu/files/sgrp/files/irvine_etal_ncc_solar_geoengineering.pdf</w:t>
        </w:r>
      </w:hyperlink>
      <w:bookmarkStart w:id="0" w:name="_GoBack"/>
      <w:bookmarkEnd w:id="0"/>
      <w:r w:rsidR="00E67E29">
        <w:t xml:space="preserve"> </w:t>
      </w:r>
      <w:r w:rsidR="00494999">
        <w:t xml:space="preserve"> </w:t>
      </w:r>
    </w:p>
    <w:p w14:paraId="310A5AA5" w14:textId="77777777" w:rsidR="003003EA" w:rsidRDefault="003003EA" w:rsidP="00051B36"/>
    <w:p w14:paraId="754430F3" w14:textId="77777777" w:rsidR="00F869AB" w:rsidRDefault="00F869AB" w:rsidP="00051B36"/>
    <w:p w14:paraId="5416BF48" w14:textId="77777777" w:rsidR="003970F4" w:rsidRDefault="003970F4" w:rsidP="00051B36"/>
    <w:p w14:paraId="07B5014E" w14:textId="77777777" w:rsidR="003970F4" w:rsidRDefault="003970F4" w:rsidP="00051B36"/>
    <w:p w14:paraId="45FFC023" w14:textId="77777777" w:rsidR="00FB6F77" w:rsidRDefault="00FB6F77" w:rsidP="00051B36"/>
    <w:p w14:paraId="7F7ADE65" w14:textId="77777777" w:rsidR="0037442A" w:rsidRDefault="0037442A" w:rsidP="00051B36">
      <w:r>
        <w:t xml:space="preserve"> </w:t>
      </w:r>
    </w:p>
    <w:p w14:paraId="27B2C72C" w14:textId="77777777" w:rsidR="005B020F" w:rsidRDefault="005B020F" w:rsidP="00051B36"/>
    <w:p w14:paraId="108FADD7" w14:textId="77777777" w:rsidR="0037442A" w:rsidRDefault="0037442A" w:rsidP="0037442A"/>
    <w:p w14:paraId="730CD630" w14:textId="77777777" w:rsidR="0037442A" w:rsidRDefault="0037442A" w:rsidP="0037442A"/>
    <w:p w14:paraId="4E81DB69" w14:textId="77777777" w:rsidR="0037442A" w:rsidRDefault="0037442A" w:rsidP="0037442A"/>
    <w:p w14:paraId="66CB1B3E" w14:textId="77777777" w:rsidR="0037442A" w:rsidRDefault="0037442A" w:rsidP="0037442A"/>
    <w:p w14:paraId="18E0FA09" w14:textId="77777777" w:rsidR="0037442A" w:rsidRDefault="0037442A" w:rsidP="0037442A"/>
    <w:p w14:paraId="09E4DCF3" w14:textId="77777777" w:rsidR="0037442A" w:rsidRDefault="0037442A" w:rsidP="0037442A"/>
    <w:p w14:paraId="2BFD1A2A" w14:textId="77777777" w:rsidR="0037442A" w:rsidRDefault="0037442A" w:rsidP="0037442A"/>
    <w:p w14:paraId="27E18677" w14:textId="77777777" w:rsidR="0037442A" w:rsidRDefault="0037442A" w:rsidP="0037442A"/>
    <w:p w14:paraId="11F04878" w14:textId="77777777" w:rsidR="0037442A" w:rsidRDefault="0037442A" w:rsidP="0037442A"/>
    <w:p w14:paraId="4A18D0C6" w14:textId="77777777" w:rsidR="0037442A" w:rsidRDefault="0037442A" w:rsidP="0037442A"/>
    <w:p w14:paraId="350E2A13" w14:textId="77777777" w:rsidR="0037442A" w:rsidRDefault="0037442A" w:rsidP="0037442A"/>
    <w:p w14:paraId="7B70F530" w14:textId="77777777" w:rsidR="0037442A" w:rsidRDefault="0037442A" w:rsidP="0037442A"/>
    <w:p w14:paraId="377B2DEC" w14:textId="77777777" w:rsidR="0037442A" w:rsidRDefault="0037442A" w:rsidP="0037442A"/>
    <w:p w14:paraId="0B9D7767" w14:textId="77777777" w:rsidR="0037442A" w:rsidRPr="005A4782" w:rsidRDefault="0037442A" w:rsidP="0037442A"/>
    <w:sectPr w:rsidR="0037442A" w:rsidRPr="005A47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BF26C" w14:textId="77777777" w:rsidR="006B79F1" w:rsidRDefault="006B79F1" w:rsidP="00BD6216">
      <w:pPr>
        <w:spacing w:after="0" w:line="240" w:lineRule="auto"/>
      </w:pPr>
      <w:r>
        <w:separator/>
      </w:r>
    </w:p>
  </w:endnote>
  <w:endnote w:type="continuationSeparator" w:id="0">
    <w:p w14:paraId="51E5B872" w14:textId="77777777" w:rsidR="006B79F1" w:rsidRDefault="006B79F1" w:rsidP="00BD6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70558" w14:textId="77777777" w:rsidR="006B79F1" w:rsidRDefault="006B79F1" w:rsidP="00BD6216">
      <w:pPr>
        <w:spacing w:after="0" w:line="240" w:lineRule="auto"/>
      </w:pPr>
      <w:r>
        <w:separator/>
      </w:r>
    </w:p>
  </w:footnote>
  <w:footnote w:type="continuationSeparator" w:id="0">
    <w:p w14:paraId="073FE4AA" w14:textId="77777777" w:rsidR="006B79F1" w:rsidRDefault="006B79F1" w:rsidP="00BD6216">
      <w:pPr>
        <w:spacing w:after="0" w:line="240" w:lineRule="auto"/>
      </w:pPr>
      <w:r>
        <w:continuationSeparator/>
      </w:r>
    </w:p>
  </w:footnote>
  <w:footnote w:id="1">
    <w:p w14:paraId="71F7A019" w14:textId="77777777" w:rsidR="002878E8" w:rsidRDefault="002878E8" w:rsidP="002878E8">
      <w:pPr>
        <w:pStyle w:val="Notedebasdepage"/>
      </w:pPr>
      <w:r>
        <w:rPr>
          <w:rStyle w:val="Appelnotedebasdep"/>
        </w:rPr>
        <w:footnoteRef/>
      </w:r>
      <w:r>
        <w:t xml:space="preserve"> Keith, D. W., </w:t>
      </w:r>
      <w:proofErr w:type="spellStart"/>
      <w:r>
        <w:t>Weisenstein</w:t>
      </w:r>
      <w:proofErr w:type="spellEnd"/>
      <w:r>
        <w:t xml:space="preserve">, D. K., </w:t>
      </w:r>
      <w:proofErr w:type="spellStart"/>
      <w:r>
        <w:t>Dykema</w:t>
      </w:r>
      <w:proofErr w:type="spellEnd"/>
      <w:r>
        <w:t xml:space="preserve">, J. A. &amp; </w:t>
      </w:r>
      <w:proofErr w:type="spellStart"/>
      <w:r>
        <w:t>Keutsch</w:t>
      </w:r>
      <w:proofErr w:type="spellEnd"/>
      <w:r>
        <w:t xml:space="preserve">, F. N. </w:t>
      </w:r>
      <w:proofErr w:type="spellStart"/>
      <w:r>
        <w:t>Stratospheric</w:t>
      </w:r>
      <w:proofErr w:type="spellEnd"/>
      <w:r>
        <w:t xml:space="preserve"> </w:t>
      </w:r>
      <w:proofErr w:type="spellStart"/>
      <w:r>
        <w:t>solar</w:t>
      </w:r>
      <w:proofErr w:type="spellEnd"/>
      <w:r>
        <w:t xml:space="preserve"> </w:t>
      </w:r>
      <w:proofErr w:type="spellStart"/>
      <w:r>
        <w:t>geoengineering</w:t>
      </w:r>
      <w:proofErr w:type="spellEnd"/>
      <w:r>
        <w:t xml:space="preserve"> </w:t>
      </w:r>
      <w:proofErr w:type="spellStart"/>
      <w:r>
        <w:t>without</w:t>
      </w:r>
      <w:proofErr w:type="spellEnd"/>
      <w:r>
        <w:t xml:space="preserve"> ozone </w:t>
      </w:r>
      <w:proofErr w:type="spellStart"/>
      <w:r>
        <w:t>loss</w:t>
      </w:r>
      <w:proofErr w:type="spellEnd"/>
      <w:r>
        <w:t xml:space="preserve">. Proc. </w:t>
      </w:r>
      <w:proofErr w:type="spellStart"/>
      <w:r>
        <w:t>Natl</w:t>
      </w:r>
      <w:proofErr w:type="spellEnd"/>
      <w:r>
        <w:t xml:space="preserve"> Acad. </w:t>
      </w:r>
      <w:proofErr w:type="spellStart"/>
      <w:r>
        <w:t>Sci</w:t>
      </w:r>
      <w:proofErr w:type="spellEnd"/>
      <w:r>
        <w:t>. USA 113, 14910–14914 (2016)</w:t>
      </w:r>
    </w:p>
  </w:footnote>
  <w:footnote w:id="2">
    <w:p w14:paraId="43C5C330" w14:textId="77777777" w:rsidR="002878E8" w:rsidRDefault="002878E8">
      <w:pPr>
        <w:pStyle w:val="Notedebasdepage"/>
      </w:pPr>
      <w:r>
        <w:rPr>
          <w:rStyle w:val="Appelnotedebasdep"/>
        </w:rPr>
        <w:footnoteRef/>
      </w:r>
      <w:r>
        <w:t xml:space="preserve"> </w:t>
      </w:r>
      <w:r>
        <w:fldChar w:fldCharType="begin"/>
      </w:r>
      <w:r>
        <w:instrText xml:space="preserve"> ADDIN ZOTERO_ITEM CSL_CITATION {"citationID":"5DddPj8o","properties":{"formattedCitation":"Peter Irvine et al., \\uc0\\u171{}\\uc0\\u160{}Halving warming with idealized solar geoengineering moderates key climate hazards\\uc0\\u160{}\\uc0\\u187{}, {\\i{}Nature Climate Change} 9, n\\super o\\nosupersub{} 4 (1 avril 2019): 295\\uc0\\u8209{}99, https://doi.org/10.1038/s41558-019-0398-8.","plainCitation":"Peter Irvine et al., « Halving warming with idealized solar geoengineering moderates key climate hazards », Nature Climate Change 9, no 4 (1 avril 2019): 295</w:instrText>
      </w:r>
      <w:r>
        <w:rPr>
          <w:rFonts w:ascii="Cambria Math" w:hAnsi="Cambria Math" w:cs="Cambria Math"/>
        </w:rPr>
        <w:instrText>‑</w:instrText>
      </w:r>
      <w:r>
        <w:instrText xml:space="preserve">99, https://doi.org/10.1038/s41558-019-0398-8.","noteIndex":2},"citationItems":[{"id":13,"uris":["http://zotero.org/users/5733994/items/RHDDNTWQ"],"uri":["http://zotero.org/users/5733994/items/RHDDNTWQ"],"itemData":{"id":13,"type":"article-journal","title":"Halving warming with idealized solar geoengineering moderates key climate hazards","container-title":"Nature Climate Change","page":"295-299","volume":"9","issue":"4","abstract":"Solar geoengineering (SG) has the potential to restore average surface temperatures by increasing planetary albedo1–4, but this could reduce precipitation5–7. Thus, although SG might reduce globally aggregated risks, it may increase climate risks for some regions8–10. Here, using the high-resolution forecast-oriented low ocean resolution (HiFLOR) model—which resolves tropical cyclones and has an improved representation of present-day precipitation extremes11,12—alongside 12 models from the Geoengineering Model Intercomparison Project (GeoMIP), we analyse the fraction of locations that see their local climate change exacerbated or moderated by SG. Rather than restoring temperatures, we assume that SG is applied to halve the warming produced by doubling CO2 (half-SG). In HiFLOR, half-SG offsets most of the CO2-induced increase of simulated tropical cyclone intensity. Moreover, neither temperature, water availability, extreme temperature nor extreme precipitation are exacerbated under half-SG when averaged over any Intergovernmental Panel on Climate Change (IPCC) Special Report on Extremes (SREX) region. Indeed, for both extreme precipitation and water availability, less than 0.4% of the ice-free land surface sees exacerbation. Thus, while concerns about the inequality of solar geoengineering impacts are appropriate, the quantitative extent of inequality may be overstated13.","DOI":"10.1038/s41558-019-0398-8","ISSN":"1758-6798","journalAbbreviation":"Nature Climate Change","author":[{"family":"Irvine","given":"Peter"},{"family":"Emanuel","given":"Kerry"},{"family":"He","given":"Jie"},{"family":"Horowitz","given":"Larry W."},{"family":"Vecchi","given":"Gabriel"},{"family":"Keith","given":"David"}],"issued":{"date-parts":[["2019",4,1]]}}}],"schema":"https://github.com/citation-style-language/schema/raw/master/csl-citation.json"} </w:instrText>
      </w:r>
      <w:r>
        <w:fldChar w:fldCharType="separate"/>
      </w:r>
      <w:r w:rsidRPr="002878E8">
        <w:rPr>
          <w:rFonts w:ascii="Calibri" w:hAnsi="Calibri" w:cs="Calibri"/>
          <w:szCs w:val="24"/>
        </w:rPr>
        <w:t xml:space="preserve">Peter Irvine et al., « Halving warming with idealized solar geoengineering moderates key climate hazards », </w:t>
      </w:r>
      <w:r w:rsidRPr="002878E8">
        <w:rPr>
          <w:rFonts w:ascii="Calibri" w:hAnsi="Calibri" w:cs="Calibri"/>
          <w:i/>
          <w:iCs/>
          <w:szCs w:val="24"/>
        </w:rPr>
        <w:t>Nature Climate Change</w:t>
      </w:r>
      <w:r w:rsidRPr="002878E8">
        <w:rPr>
          <w:rFonts w:ascii="Calibri" w:hAnsi="Calibri" w:cs="Calibri"/>
          <w:szCs w:val="24"/>
        </w:rPr>
        <w:t xml:space="preserve"> 9, n</w:t>
      </w:r>
      <w:r w:rsidRPr="002878E8">
        <w:rPr>
          <w:rFonts w:ascii="Calibri" w:hAnsi="Calibri" w:cs="Calibri"/>
          <w:szCs w:val="24"/>
          <w:vertAlign w:val="superscript"/>
        </w:rPr>
        <w:t>o</w:t>
      </w:r>
      <w:r w:rsidRPr="002878E8">
        <w:rPr>
          <w:rFonts w:ascii="Calibri" w:hAnsi="Calibri" w:cs="Calibri"/>
          <w:szCs w:val="24"/>
        </w:rPr>
        <w:t xml:space="preserve"> 4 (1 avril 2019): 295‑99, https://doi.org/10.1038/s41558-019-0398-8.</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82"/>
    <w:rsid w:val="00051B36"/>
    <w:rsid w:val="00065BC3"/>
    <w:rsid w:val="001609EE"/>
    <w:rsid w:val="00271ABB"/>
    <w:rsid w:val="002878E8"/>
    <w:rsid w:val="003003EA"/>
    <w:rsid w:val="003062DC"/>
    <w:rsid w:val="0037442A"/>
    <w:rsid w:val="003970F4"/>
    <w:rsid w:val="00494999"/>
    <w:rsid w:val="005051ED"/>
    <w:rsid w:val="005A4782"/>
    <w:rsid w:val="005B020F"/>
    <w:rsid w:val="006B79F1"/>
    <w:rsid w:val="007A50D0"/>
    <w:rsid w:val="00803B26"/>
    <w:rsid w:val="00A504E5"/>
    <w:rsid w:val="00A93A22"/>
    <w:rsid w:val="00B940EF"/>
    <w:rsid w:val="00BD6216"/>
    <w:rsid w:val="00C34E2F"/>
    <w:rsid w:val="00E428CB"/>
    <w:rsid w:val="00E67E29"/>
    <w:rsid w:val="00E7695D"/>
    <w:rsid w:val="00ED67AA"/>
    <w:rsid w:val="00F869AB"/>
    <w:rsid w:val="00FA48B5"/>
    <w:rsid w:val="00FB6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23FD"/>
  <w15:chartTrackingRefBased/>
  <w15:docId w15:val="{A67A3B60-B7A6-4E10-B6A9-E5B4F231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BD6216"/>
    <w:pPr>
      <w:spacing w:after="0" w:line="240" w:lineRule="auto"/>
    </w:pPr>
    <w:rPr>
      <w:sz w:val="20"/>
      <w:szCs w:val="20"/>
    </w:rPr>
  </w:style>
  <w:style w:type="character" w:customStyle="1" w:styleId="NotedefinCar">
    <w:name w:val="Note de fin Car"/>
    <w:basedOn w:val="Policepardfaut"/>
    <w:link w:val="Notedefin"/>
    <w:uiPriority w:val="99"/>
    <w:semiHidden/>
    <w:rsid w:val="00BD6216"/>
    <w:rPr>
      <w:sz w:val="20"/>
      <w:szCs w:val="20"/>
    </w:rPr>
  </w:style>
  <w:style w:type="character" w:styleId="Appeldenotedefin">
    <w:name w:val="endnote reference"/>
    <w:basedOn w:val="Policepardfaut"/>
    <w:uiPriority w:val="99"/>
    <w:semiHidden/>
    <w:unhideWhenUsed/>
    <w:rsid w:val="00BD6216"/>
    <w:rPr>
      <w:vertAlign w:val="superscript"/>
    </w:rPr>
  </w:style>
  <w:style w:type="paragraph" w:styleId="Notedebasdepage">
    <w:name w:val="footnote text"/>
    <w:basedOn w:val="Normal"/>
    <w:link w:val="NotedebasdepageCar"/>
    <w:uiPriority w:val="99"/>
    <w:semiHidden/>
    <w:unhideWhenUsed/>
    <w:rsid w:val="00BD621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D6216"/>
    <w:rPr>
      <w:sz w:val="20"/>
      <w:szCs w:val="20"/>
    </w:rPr>
  </w:style>
  <w:style w:type="character" w:styleId="Appelnotedebasdep">
    <w:name w:val="footnote reference"/>
    <w:basedOn w:val="Policepardfaut"/>
    <w:uiPriority w:val="99"/>
    <w:semiHidden/>
    <w:unhideWhenUsed/>
    <w:rsid w:val="00BD6216"/>
    <w:rPr>
      <w:vertAlign w:val="superscript"/>
    </w:rPr>
  </w:style>
  <w:style w:type="character" w:styleId="Lienhypertexte">
    <w:name w:val="Hyperlink"/>
    <w:basedOn w:val="Policepardfaut"/>
    <w:uiPriority w:val="99"/>
    <w:semiHidden/>
    <w:unhideWhenUsed/>
    <w:rsid w:val="00306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engineering.environment.harvard.edu/files/sgrp/files/irvine_etal_ncc_solar_geoengineering.pd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36C3E-F53A-4BDA-9D6E-1F562B43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1785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Fabrègues</dc:creator>
  <cp:keywords/>
  <dc:description/>
  <cp:lastModifiedBy>Julien Fabrègues</cp:lastModifiedBy>
  <cp:revision>7</cp:revision>
  <dcterms:created xsi:type="dcterms:W3CDTF">2019-05-12T08:48:00Z</dcterms:created>
  <dcterms:modified xsi:type="dcterms:W3CDTF">2019-05-13T14:10:00Z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id="mz9y1FPw"/&gt;&lt;style id="http://www.zotero.org/styles/chicago-fullnote-bibliography" locale="fr-FR"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