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both"/>
        <w:rPr>
          <w:rFonts w:ascii="Arial Black" w:hAnsi="Arial Black"/>
          <w:i/>
          <w:i/>
          <w:iCs/>
          <w:color w:themeColor="accent6" w:themeShade="bf" w:val="538135"/>
          <w:sz w:val="40"/>
          <w:szCs w:val="40"/>
        </w:rPr>
      </w:pPr>
      <w:r>
        <w:rPr>
          <w:rFonts w:ascii="Arial Black" w:hAnsi="Arial Black"/>
          <w:i/>
          <w:iCs/>
          <w:color w:themeColor="accent6" w:themeShade="bf" w:val="538135"/>
          <w:sz w:val="40"/>
          <w:szCs w:val="40"/>
        </w:rPr>
        <w:t>Хехе, а у меня симнацат’э</w:t>
      </w:r>
    </w:p>
    <w:p>
      <w:pPr>
        <w:pStyle w:val="Heading1"/>
        <w:jc w:val="both"/>
        <w:rPr>
          <w:rFonts w:ascii="Arial Black" w:hAnsi="Arial Black"/>
          <w:i/>
          <w:i/>
          <w:iCs/>
          <w:color w:themeColor="accent6" w:themeShade="bf" w:val="538135"/>
          <w:sz w:val="40"/>
          <w:szCs w:val="40"/>
        </w:rPr>
      </w:pPr>
      <w:r>
        <w:rPr>
          <w:rFonts w:ascii="Arial Black" w:hAnsi="Arial Black"/>
          <w:i/>
          <w:iCs/>
          <w:color w:themeColor="accent6" w:themeShade="bf" w:val="538135"/>
          <w:sz w:val="40"/>
          <w:szCs w:val="40"/>
        </w:rPr>
        <w:t xml:space="preserve">Хехе, а у меня </w:t>
      </w:r>
      <w:r>
        <w:rPr>
          <w:rFonts w:ascii="Arial Black" w:hAnsi="Arial Black"/>
          <w:i/>
          <w:iCs/>
          <w:color w:themeColor="accent6" w:themeShade="bf" w:val="538135"/>
          <w:sz w:val="40"/>
          <w:szCs w:val="40"/>
          <w:lang w:val="en-US"/>
        </w:rPr>
        <w:t>се</w:t>
      </w:r>
      <w:r>
        <w:rPr>
          <w:rFonts w:ascii="Arial Black" w:hAnsi="Arial Black"/>
          <w:i/>
          <w:iCs/>
          <w:color w:themeColor="accent6" w:themeShade="bf" w:val="538135"/>
          <w:sz w:val="40"/>
          <w:szCs w:val="40"/>
          <w:lang w:val="ru-RU"/>
        </w:rPr>
        <w:t>мна</w:t>
      </w:r>
      <w:r>
        <w:rPr>
          <w:rFonts w:ascii="Arial Black" w:hAnsi="Arial Black"/>
          <w:i/>
          <w:iCs/>
          <w:color w:themeColor="accent6" w:themeShade="bf" w:val="538135"/>
          <w:sz w:val="40"/>
          <w:szCs w:val="40"/>
          <w:lang w:val="en-US"/>
        </w:rPr>
        <w:t>д</w:t>
      </w:r>
      <w:r>
        <w:rPr>
          <w:rFonts w:ascii="Arial Black" w:hAnsi="Arial Black"/>
          <w:i/>
          <w:iCs/>
          <w:color w:themeColor="accent6" w:themeShade="bf" w:val="538135"/>
          <w:sz w:val="40"/>
          <w:szCs w:val="40"/>
          <w:lang w:val="ru-RU"/>
        </w:rPr>
        <w:t xml:space="preserve">цать 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i/>
              <w:iCs/>
              <w:vanish w:val="false"/>
              <w:rFonts w:ascii="Arial Black" w:hAnsi="Arial Black"/>
              <w:color w:themeColor="hyperlink" w:themeShade="bf" w:val="034990"/>
            </w:rPr>
            <w:instrText xml:space="preserve"> TOC \z \o "1-3" \u \h</w:instrText>
          </w:r>
          <w:r>
            <w:rPr>
              <w:webHidden/>
              <w:rStyle w:val="IndexLink"/>
              <w:i/>
              <w:iCs/>
              <w:vanish w:val="false"/>
              <w:rFonts w:ascii="Arial Black" w:hAnsi="Arial Black"/>
              <w:color w:themeColor="hyperlink" w:themeShade="bf" w:val="034990"/>
            </w:rPr>
            <w:fldChar w:fldCharType="separate"/>
          </w:r>
          <w:hyperlink w:anchor="_Toc158549950">
            <w:r>
              <w:rPr>
                <w:webHidden/>
                <w:rStyle w:val="IndexLink"/>
                <w:rFonts w:ascii="Arial Black" w:hAnsi="Arial Black"/>
                <w:i/>
                <w:iCs/>
                <w:vanish w:val="false"/>
                <w:color w:themeColor="hyperlink" w:themeShade="bf" w:val="034990"/>
              </w:rPr>
              <w:t>Тенденции на рынке труда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_Toc158549950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58549951">
            <w:r>
              <w:rPr>
                <w:webHidden/>
                <w:rStyle w:val="IndexLink"/>
                <w:rFonts w:cs="Calibri"/>
                <w:b/>
                <w:bCs/>
                <w:i/>
                <w:iCs/>
                <w:vanish w:val="false"/>
                <w:color w:themeColor="hyperlink" w:themeShade="bf" w:val="034990"/>
              </w:rPr>
              <w:t>Экономическая активность населения.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_Toc158549951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58549952">
            <w:r>
              <w:rPr>
                <w:webHidden/>
                <w:rStyle w:val="IndexLink"/>
                <w:rFonts w:cs="Calibri"/>
                <w:b/>
                <w:bCs/>
                <w:i/>
                <w:iCs/>
                <w:vanish w:val="false"/>
                <w:color w:themeColor="hyperlink" w:themeShade="bf" w:val="034990"/>
              </w:rPr>
              <w:t>Безработица среди мужчин и женщин.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_Toc158549952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58549953">
            <w:r>
              <w:rPr>
                <w:webHidden/>
                <w:rStyle w:val="IndexLink"/>
                <w:rFonts w:cs="Calibri"/>
                <w:b/>
                <w:bCs/>
                <w:i/>
                <w:iCs/>
                <w:vanish w:val="false"/>
                <w:color w:themeColor="hyperlink" w:themeShade="bf" w:val="034990"/>
              </w:rPr>
              <w:t>Занятость, безработица и уровень образования населения.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_Toc158549953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2"/>
        <w:jc w:val="both"/>
        <w:rPr>
          <w:rFonts w:ascii="Calibri" w:hAnsi="Calibri" w:cs="Calibri"/>
          <w:b/>
          <w:bCs/>
          <w:i/>
          <w:i/>
          <w:iCs/>
          <w:color w:themeColor="accent5" w:themeShade="bf" w:val="2E74B5"/>
          <w:sz w:val="32"/>
          <w:szCs w:val="32"/>
        </w:rPr>
      </w:pPr>
      <w:r>
        <w:rPr>
          <w:rFonts w:cs="Calibri" w:ascii="Calibri" w:hAnsi="Calibri"/>
          <w:b/>
          <w:bCs/>
          <w:i/>
          <w:iCs/>
          <w:color w:themeColor="accent5" w:themeShade="bf" w:val="2E74B5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jc w:val="both"/>
        <w:rPr>
          <w:rFonts w:ascii="Calibri" w:hAnsi="Calibri" w:cs="Calibri"/>
          <w:b/>
          <w:bCs/>
          <w:i/>
          <w:i/>
          <w:iCs/>
          <w:color w:themeColor="accent5" w:themeShade="bf" w:val="2E74B5"/>
          <w:sz w:val="32"/>
          <w:szCs w:val="32"/>
        </w:rPr>
      </w:pPr>
      <w:bookmarkStart w:id="0" w:name="_Toc158549951"/>
      <w:r>
        <w:rPr>
          <w:rFonts w:cs="Calibri" w:ascii="Calibri" w:hAnsi="Calibri"/>
          <w:b/>
          <w:bCs/>
          <w:i/>
          <w:iCs/>
          <w:color w:themeColor="accent5" w:themeShade="bf" w:val="2E74B5"/>
          <w:sz w:val="32"/>
          <w:szCs w:val="32"/>
        </w:rPr>
        <w:t>Экономическая активность населения.</w:t>
      </w:r>
      <w:bookmarkEnd w:id="0"/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>
      <w:pPr>
        <w:pStyle w:val="Normal"/>
        <w:rPr/>
      </w:pPr>
      <w:r>
        <w:rPr/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>
      <w:pPr>
        <w:pStyle w:val="Heading2"/>
        <w:jc w:val="both"/>
        <w:rPr>
          <w:rFonts w:ascii="Calibri" w:hAnsi="Calibri" w:cs="Calibri"/>
          <w:b/>
          <w:bCs/>
          <w:i/>
          <w:i/>
          <w:iCs/>
          <w:color w:themeColor="accent5" w:themeShade="bf" w:val="2E74B5"/>
          <w:sz w:val="32"/>
          <w:szCs w:val="32"/>
        </w:rPr>
      </w:pPr>
      <w:bookmarkStart w:id="1" w:name="_Toc158549952"/>
      <w:r>
        <w:rPr>
          <w:rFonts w:cs="Calibri" w:ascii="Calibri" w:hAnsi="Calibri"/>
          <w:b/>
          <w:bCs/>
          <w:i/>
          <w:iCs/>
          <w:color w:themeColor="accent5" w:themeShade="bf" w:val="2E74B5"/>
          <w:sz w:val="32"/>
          <w:szCs w:val="32"/>
        </w:rPr>
        <w:t>Безработица среди мужчин и женщин.</w:t>
      </w:r>
      <w:bookmarkEnd w:id="1"/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rPr>
          <w:rStyle w:val="FootnoteReference"/>
          <w:rFonts w:ascii="Times New Roman" w:hAnsi="Times New Roman"/>
          <w:sz w:val="28"/>
          <w:szCs w:val="28"/>
        </w:rPr>
        <w:footnoteReference w:id="2"/>
      </w:r>
      <w:r>
        <w:rPr>
          <w:rFonts w:ascii="Times New Roman" w:hAnsi="Times New Roman"/>
          <w:sz w:val="28"/>
          <w:szCs w:val="28"/>
        </w:rPr>
        <w:t> (6,2%).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>
      <w:pPr>
        <w:pStyle w:val="Heading2"/>
        <w:jc w:val="both"/>
        <w:rPr>
          <w:rFonts w:ascii="Calibri" w:hAnsi="Calibri" w:cs="Calibri"/>
          <w:b/>
          <w:bCs/>
          <w:i/>
          <w:i/>
          <w:iCs/>
          <w:color w:themeColor="accent5" w:themeShade="bf" w:val="2E74B5"/>
          <w:sz w:val="32"/>
          <w:szCs w:val="32"/>
        </w:rPr>
      </w:pPr>
      <w:bookmarkStart w:id="2" w:name="_Toc158549953"/>
      <w:r>
        <w:rPr>
          <w:rFonts w:cs="Calibri" w:ascii="Calibri" w:hAnsi="Calibri"/>
          <w:b/>
          <w:bCs/>
          <w:i/>
          <w:iCs/>
          <w:color w:themeColor="accent5" w:themeShade="bf" w:val="2E74B5"/>
          <w:sz w:val="32"/>
          <w:szCs w:val="32"/>
        </w:rPr>
        <w:t>Занятость, безработица и уровень образования населения.</w:t>
      </w:r>
      <w:bookmarkEnd w:id="2"/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FootnoteReference"/>
          <w:rFonts w:ascii="Times New Roman" w:hAnsi="Times New Roman"/>
          <w:sz w:val="28"/>
          <w:szCs w:val="28"/>
        </w:rPr>
        <w:footnoteReference w:id="3"/>
      </w:r>
      <w:r>
        <w:rPr>
          <w:rFonts w:ascii="Times New Roman" w:hAnsi="Times New Roman"/>
          <w:sz w:val="28"/>
          <w:szCs w:val="28"/>
        </w:rPr>
        <w:t xml:space="preserve"> составил 81,5%, уровень безработицы</w:t>
      </w:r>
      <w:r>
        <w:rPr>
          <w:rStyle w:val="FootnoteReference"/>
          <w:rFonts w:ascii="Times New Roman" w:hAnsi="Times New Roman"/>
          <w:sz w:val="28"/>
          <w:szCs w:val="28"/>
        </w:rPr>
        <w:footnoteReference w:id="4"/>
      </w:r>
      <w:r>
        <w:rPr>
          <w:rFonts w:ascii="Times New Roman" w:hAnsi="Times New Roman"/>
          <w:sz w:val="28"/>
          <w:szCs w:val="28"/>
        </w:rPr>
        <w:t xml:space="preserve"> - 3,6%, со средним профессиональным образованием соответственно 73,7% и 5,1%, начальным профессиональным образованием - 73,2% и 6,7%.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footerReference w:type="even" r:id="rId9"/>
          <w:footerReference w:type="default" r:id="rId10"/>
          <w:footerReference w:type="first" r:id="rId11"/>
          <w:footnotePr>
            <w:numFmt w:val="decimal"/>
          </w:footnotePr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tbl>
      <w:tblPr>
        <w:tblStyle w:val="a8"/>
        <w:tblW w:w="14875" w:type="dxa"/>
        <w:jc w:val="left"/>
        <w:tblInd w:w="0" w:type="dxa"/>
        <w:shd w:fill="BDD6EE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7"/>
        <w:gridCol w:w="3033"/>
        <w:gridCol w:w="1605"/>
        <w:gridCol w:w="2380"/>
        <w:gridCol w:w="2065"/>
        <w:gridCol w:w="2534"/>
      </w:tblGrid>
      <w:tr>
        <w:trPr>
          <w:trHeight w:val="28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b/>
                <w:bCs/>
                <w:color w:themeColor="background1" w:val="FFFFFF"/>
                <w:kern w:val="0"/>
                <w:lang w:val="ru-RU" w:bidi="ar-SA"/>
              </w:rPr>
            </w:pPr>
            <w:r>
              <w:rPr/>
            </w:r>
          </w:p>
        </w:tc>
        <w:tc>
          <w:tcPr>
            <w:tcW w:w="3033" w:type="dxa"/>
            <w:vMerge w:val="restart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  <w:t>Экономически активное население, тыс.человек</w:t>
            </w:r>
          </w:p>
        </w:tc>
        <w:tc>
          <w:tcPr>
            <w:tcW w:w="3985" w:type="dxa"/>
            <w:gridSpan w:val="2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  <w:t>В том числе</w:t>
            </w:r>
          </w:p>
        </w:tc>
        <w:tc>
          <w:tcPr>
            <w:tcW w:w="2065" w:type="dxa"/>
            <w:vMerge w:val="restart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  <w:t>Уровень занятости, </w:t>
              <w:br/>
              <w:t>%</w:t>
            </w:r>
          </w:p>
        </w:tc>
        <w:tc>
          <w:tcPr>
            <w:tcW w:w="2534" w:type="dxa"/>
            <w:vMerge w:val="restart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  <w:t>Уровень безработицы,</w:t>
              <w:br/>
              <w:t>%</w:t>
            </w:r>
          </w:p>
        </w:tc>
      </w:tr>
      <w:tr>
        <w:trPr>
          <w:trHeight w:val="3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</w:r>
          </w:p>
        </w:tc>
        <w:tc>
          <w:tcPr>
            <w:tcW w:w="3033" w:type="dxa"/>
            <w:vMerge w:val="continue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занятые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безработные</w:t>
            </w:r>
          </w:p>
        </w:tc>
        <w:tc>
          <w:tcPr>
            <w:tcW w:w="2065" w:type="dxa"/>
            <w:vMerge w:val="continue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</w:r>
          </w:p>
        </w:tc>
        <w:tc>
          <w:tcPr>
            <w:tcW w:w="2534" w:type="dxa"/>
            <w:vMerge w:val="continue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</w:r>
          </w:p>
        </w:tc>
      </w:tr>
      <w:tr>
        <w:trPr>
          <w:trHeight w:val="280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Всего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75752,0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70731,8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5020,2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63,8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6,6</w:t>
            </w:r>
          </w:p>
        </w:tc>
      </w:tr>
      <w:tr>
        <w:trPr>
          <w:trHeight w:val="110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   </w:t>
            </w: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в том числе по уровню образования:</w:t>
              <w:br/>
              <w:t>высшее и послевузовское </w:t>
              <w:br/>
              <w:t>профессиональное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21671,9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20887,6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784,3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81,5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3,6</w:t>
            </w:r>
          </w:p>
        </w:tc>
      </w:tr>
      <w:tr>
        <w:trPr>
          <w:trHeight w:val="561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      </w:t>
            </w: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из них по группам специальностей: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/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/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/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/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/>
            </w:r>
          </w:p>
        </w:tc>
      </w:tr>
      <w:tr>
        <w:trPr>
          <w:trHeight w:val="2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экономика и управление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5513,6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5267,4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246,2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82,9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4,5</w:t>
            </w:r>
          </w:p>
        </w:tc>
      </w:tr>
      <w:tr>
        <w:trPr>
          <w:trHeight w:val="280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образование и педогогика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3769,0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3643,3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125,8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78,5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3,3</w:t>
            </w:r>
          </w:p>
        </w:tc>
      </w:tr>
      <w:tr>
        <w:trPr>
          <w:trHeight w:val="2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гуманитарные науки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2514,1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2401,8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112,3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83,5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4,5</w:t>
            </w:r>
          </w:p>
        </w:tc>
      </w:tr>
      <w:tr>
        <w:trPr>
          <w:trHeight w:val="280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здравоохранение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1388,2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1371,7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16,5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84,0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1,2</w:t>
            </w:r>
          </w:p>
        </w:tc>
      </w:tr>
      <w:tr>
        <w:trPr>
          <w:trHeight w:val="2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строительство и архитектура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1148,2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1112,3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36,0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81,5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3,1</w:t>
            </w:r>
          </w:p>
        </w:tc>
      </w:tr>
      <w:tr>
        <w:trPr>
          <w:trHeight w:val="843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энергетика, энергетическое </w:t>
              <w:br/>
              <w:t>машиностроение и </w:t>
              <w:br/>
              <w:t>электротехника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865,3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842,7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22,6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83,6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2,6</w:t>
            </w:r>
          </w:p>
        </w:tc>
      </w:tr>
      <w:tr>
        <w:trPr>
          <w:trHeight w:val="2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сельское и рыбное хозяйство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746,5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711,4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35,0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77,0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4,7</w:t>
            </w:r>
          </w:p>
        </w:tc>
      </w:tr>
      <w:tr>
        <w:trPr>
          <w:trHeight w:val="843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металлургия, машиностроение и</w:t>
              <w:br/>
              <w:t>материалообработка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705,7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684,8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20,9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79,2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3,0</w:t>
            </w:r>
          </w:p>
        </w:tc>
      </w:tr>
      <w:tr>
        <w:trPr>
          <w:trHeight w:val="8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информатика и вычислительная</w:t>
              <w:br/>
              <w:t>техника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588,3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575,1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13,2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92,2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2,2</w:t>
            </w:r>
          </w:p>
        </w:tc>
      </w:tr>
      <w:tr>
        <w:trPr>
          <w:trHeight w:val="280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транспортные средства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578,8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560,8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18,0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84,4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3,1</w:t>
            </w:r>
          </w:p>
        </w:tc>
      </w:tr>
      <w:tr>
        <w:trPr>
          <w:trHeight w:val="5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физико-математические </w:t>
              <w:br/>
              <w:t>специальности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447,6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437,6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10,0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84,5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2,2</w:t>
            </w:r>
          </w:p>
        </w:tc>
      </w:tr>
      <w:tr>
        <w:trPr>
          <w:trHeight w:val="561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электронная техника, </w:t>
              <w:br/>
              <w:t>радиотехника и связь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464,3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450,1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14,2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80,9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3,1</w:t>
            </w:r>
          </w:p>
        </w:tc>
      </w:tr>
      <w:tr>
        <w:trPr>
          <w:trHeight w:val="2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культура и искусство</w:t>
            </w:r>
          </w:p>
        </w:tc>
        <w:tc>
          <w:tcPr>
            <w:tcW w:w="3033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423,1</w:t>
            </w:r>
          </w:p>
        </w:tc>
        <w:tc>
          <w:tcPr>
            <w:tcW w:w="1605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410,3</w:t>
            </w:r>
          </w:p>
        </w:tc>
        <w:tc>
          <w:tcPr>
            <w:tcW w:w="2380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12,7</w:t>
            </w:r>
          </w:p>
        </w:tc>
        <w:tc>
          <w:tcPr>
            <w:tcW w:w="2065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80,3</w:t>
            </w:r>
          </w:p>
        </w:tc>
        <w:tc>
          <w:tcPr>
            <w:tcW w:w="2534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3,0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even" r:id="rId12"/>
      <w:footerReference w:type="default" r:id="rId13"/>
      <w:footerReference w:type="first" r:id="rId14"/>
      <w:footnotePr>
        <w:numFmt w:val="decimal"/>
      </w:footnotePr>
      <w:type w:val="nextPage"/>
      <w:pgSz w:orient="landscape" w:w="16838" w:h="11906"/>
      <w:pgMar w:left="1134" w:right="1134" w:gutter="0" w:header="0" w:top="170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30739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30739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30739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30739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30739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Spacing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Отношение численности безработных женщин (мужчин) к численности экономически активного женского (мужского) населения.</w:t>
      </w:r>
    </w:p>
    <w:p>
      <w:pPr>
        <w:pStyle w:val="FootnoteText"/>
        <w:rPr/>
      </w:pPr>
      <w:r>
        <w:rPr/>
      </w:r>
    </w:p>
  </w:footnote>
  <w:footnote w:id="3">
    <w:p>
      <w:pPr>
        <w:pStyle w:val="FootnoteText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sz w:val="22"/>
          <w:szCs w:val="22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  <w:r>
        <w:rPr>
          <w:rFonts w:ascii="Times New Roman" w:hAnsi="Times New Roman"/>
          <w:sz w:val="28"/>
          <w:szCs w:val="28"/>
        </w:rPr>
        <w:t> </w:t>
        <w:br/>
      </w:r>
    </w:p>
  </w:footnote>
  <w:footnote w:id="4"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Style w:val="FootnoteCharacters"/>
        </w:rPr>
        <w:footnoteRef/>
      </w:r>
      <w:r>
        <w:rPr/>
        <w:t xml:space="preserve"> </w:t>
      </w:r>
      <w:r>
        <w:rPr/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>
      <w:pPr>
        <w:pStyle w:val="FootnoteText"/>
        <w:rPr/>
      </w:pPr>
      <w:r>
        <w:rPr/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5cb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452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2452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b31bcd"/>
    <w:rPr/>
  </w:style>
  <w:style w:type="character" w:styleId="Hyperlink">
    <w:name w:val="Hyperlink"/>
    <w:basedOn w:val="DefaultParagraphFont"/>
    <w:uiPriority w:val="99"/>
    <w:unhideWhenUsed/>
    <w:rsid w:val="00b31bcd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31bcd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452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02452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eastAsia="en-US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054124"/>
    <w:rPr>
      <w:sz w:val="22"/>
      <w:szCs w:val="22"/>
      <w:lang w:eastAsia="en-US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054124"/>
    <w:rPr>
      <w:sz w:val="22"/>
      <w:szCs w:val="22"/>
      <w:lang w:eastAsia="en-US"/>
    </w:rPr>
  </w:style>
  <w:style w:type="character" w:styleId="Style15" w:customStyle="1">
    <w:name w:val="Текст сноски Знак"/>
    <w:basedOn w:val="DefaultParagraphFont"/>
    <w:link w:val="FootnoteText"/>
    <w:uiPriority w:val="99"/>
    <w:semiHidden/>
    <w:qFormat/>
    <w:rsid w:val="000b197e"/>
    <w:rPr>
      <w:lang w:eastAsia="en-US"/>
    </w:rPr>
  </w:style>
  <w:style w:type="character" w:styleId="FootnoteCharacters">
    <w:name w:val="Footnote Characters"/>
    <w:uiPriority w:val="99"/>
    <w:semiHidden/>
    <w:unhideWhenUsed/>
    <w:qFormat/>
    <w:rsid w:val="000b197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b31bc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31b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05412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05412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54124"/>
    <w:pPr>
      <w:spacing w:lineRule="auto" w:line="259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5412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54124"/>
    <w:pPr>
      <w:spacing w:before="0" w:after="100"/>
      <w:ind w:left="220"/>
    </w:pPr>
    <w:rPr/>
  </w:style>
  <w:style w:type="paragraph" w:styleId="FootnoteText">
    <w:name w:val="Footnote Text"/>
    <w:basedOn w:val="Normal"/>
    <w:link w:val="Style15"/>
    <w:uiPriority w:val="99"/>
    <w:semiHidden/>
    <w:unhideWhenUsed/>
    <w:rsid w:val="000b197e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0b197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b31b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8">
    <w:name w:val="Таблица"/>
    <w:basedOn w:val="-5"/>
    <w:uiPriority w:val="99"/>
    <w:rsid w:val="001d6ab3"/>
    <w:rPr>
      <w:sz w:val="22"/>
    </w:rPr>
    <w:tcPr>
      <w:shd w:val="clear" w:color="auto" w:fill="BDD6EE" w:themeFill="accent5" w:themeFillTint="66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b/>
        <w:bCs/>
        <w:color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1d6ab3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notes" Target="footnotes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A2A6E-D0E2-4280-9AB9-7366AF69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LibreOffice/24.2.0.3$Windows_X86_64 LibreOffice_project/da48488a73ddd66ea24cf16bbc4f7b9c08e9bea1</Application>
  <AppVersion>15.0000</AppVersion>
  <Pages>5</Pages>
  <Words>929</Words>
  <Characters>5853</Characters>
  <CharactersWithSpaces>6676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dc:description/>
  <dc:language>ru-RU</dc:language>
  <cp:lastModifiedBy/>
  <dcterms:modified xsi:type="dcterms:W3CDTF">2024-02-29T19:55:09Z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