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50617">
      <w:pPr>
        <w:pStyle w:val="2"/>
      </w:pPr>
      <w:bookmarkStart w:id="0" w:name="X9bd8720896edd58fccafc972717dd72eaa7a810"/>
      <w:r>
        <w:rPr>
          <w:rFonts w:ascii="Times New Roman" w:hAnsi="Times New Roman"/>
        </w:rPr>
        <w:t>LDT-TargetDB: A Structure-Guided Covalent Radiopharmaceutical Target Database</w:t>
      </w:r>
    </w:p>
    <w:p w14:paraId="7B37AD4C">
      <w:pPr>
        <w:pStyle w:val="23"/>
      </w:pPr>
      <w:r>
        <w:rPr>
          <w:rFonts w:ascii="Times New Roman" w:hAnsi="Times New Roman"/>
        </w:rPr>
        <w:t>[YOUR NAME]1</w:t>
      </w:r>
    </w:p>
    <w:p w14:paraId="69A88AB2">
      <w:pPr>
        <w:pStyle w:val="3"/>
      </w:pPr>
      <w:r>
        <w:rPr>
          <w:rFonts w:ascii="Times New Roman" w:hAnsi="Times New Roman"/>
        </w:rPr>
        <w:t>1[YOUR AFFILIATION]</w:t>
      </w:r>
    </w:p>
    <w:p w14:paraId="71413181">
      <w:pPr>
        <w:pStyle w:val="3"/>
      </w:pPr>
      <w:r>
        <w:rPr>
          <w:rFonts w:ascii="Times New Roman" w:hAnsi="Times New Roman"/>
        </w:rPr>
        <w:t>*To whom correspondence should be addressed. Email: [YOUR EMAIL]</w:t>
      </w:r>
    </w:p>
    <w:p w14:paraId="38ACB1AD">
      <w:pPr>
        <w:pStyle w:val="3"/>
      </w:pPr>
      <w:r>
        <w:rPr>
          <w:rFonts w:ascii="Times New Roman" w:hAnsi="Times New Roman"/>
          <w:b/>
          <w:bCs/>
        </w:rPr>
        <w:t>Keywords:</w:t>
      </w:r>
      <w:r>
        <w:rPr>
          <w:rFonts w:ascii="Times New Roman" w:hAnsi="Times New Roman"/>
        </w:rPr>
        <w:t xml:space="preserve"> covalent radiopharmaceutical, ligand-directed transfer, surfaceome, binding pocket, target prioritization, NASA chemistry</w:t>
      </w:r>
    </w:p>
    <w:p w14:paraId="7999B43D">
      <w:pPr>
        <w:pStyle w:val="4"/>
      </w:pPr>
      <w:bookmarkStart w:id="1" w:name="abstract"/>
      <w:r>
        <w:rPr>
          <w:rFonts w:ascii="Times New Roman" w:hAnsi="Times New Roman"/>
        </w:rPr>
        <w:t>ABSTRACT</w:t>
      </w:r>
    </w:p>
    <w:p w14:paraId="34EF6CEB">
      <w:pPr>
        <w:pStyle w:val="23"/>
      </w:pPr>
      <w:r>
        <w:rPr>
          <w:rFonts w:ascii="Times New Roman" w:hAnsi="Times New Roman"/>
        </w:rPr>
        <w:t>LDT-TargetDB (https://ldt-targetdb.streamlit.app) is the first database specifically designed for covalent radiopharmaceutical target discovery using ligand-directed transfer (LDT) chemistry. It integrates five data layers: surface protein annotation (SURFY, 2,799 proteins), tumor/normal expression profiling (TCGA 33 cancer types, GTEx 30 tissues), cell-type validation (Human Protein Atlas), 3D structural analysis (AlphaFold-guided pocket detection with pyKVFinder), and covalent chemistry scoring (PROPKA pKa prediction, FreeSASA accessibility). LDT-TargetDB provides nucleophile-specific scoring (Lys&gt;Cys&gt;Tyr&gt;Ser) and cancer-type-specific ranking across 32 cancer types. Validation against 17 known nuclear medicine targets demonstrated that structural covariates significantly re-rank target priority beyond expression alone. Multi-dimensional validation (DepMap, Open Targets, Ensembl conservation, TCGA mutations) confirmed the biological relevance of top-ranked targets. LDT-TargetDB fills a critical gap at the interface of chemical biology and nuclear medicine, with source code available at https://github.com/Londger/LDT-TargetDB.</w:t>
      </w:r>
    </w:p>
    <w:bookmarkEnd w:id="1"/>
    <w:p w14:paraId="6E899365">
      <w:pPr>
        <w:pStyle w:val="4"/>
      </w:pPr>
      <w:bookmarkStart w:id="2" w:name="introduction"/>
      <w:r>
        <w:rPr>
          <w:rFonts w:ascii="Times New Roman" w:hAnsi="Times New Roman"/>
        </w:rPr>
        <w:t>INTRODUCTION</w:t>
      </w:r>
    </w:p>
    <w:p w14:paraId="369DA21A">
      <w:pPr>
        <w:pStyle w:val="23"/>
      </w:pPr>
      <w:r>
        <w:rPr>
          <w:rFonts w:ascii="Times New Roman" w:hAnsi="Times New Roman"/>
        </w:rPr>
        <w:t>Radioligand therapy (RLT) has transformed oncology, with [¹⁷⁷Lu]Lu-PSMA-617 and [¹⁷⁷Lu]Lu-DOTATATE demonstrating remarkable clinical efficacy in prostate cancer and neuroendocrine tumors, respectively (1,2,34). The global radiopharmaceutical market is projected to exceed $10 billion by 2031 (3). Despite this success, the field faces a critical bottleneck: only a handful of surface targets are clinically exploited, primarily PSMA, SSTR2, and more recently FAP (4,35). Expanding the target repertoire is essential for addressing tumor heterogeneity and therapeutic resistance.</w:t>
      </w:r>
    </w:p>
    <w:p w14:paraId="318B6238">
      <w:pPr>
        <w:pStyle w:val="3"/>
      </w:pPr>
      <w:r>
        <w:rPr>
          <w:rFonts w:ascii="Times New Roman" w:hAnsi="Times New Roman"/>
        </w:rPr>
        <w:t>Covalent radiopharmaceuticals represent the next frontier in targeted radionuclide therapy. Liu et al. recently demonstrated that covalent targeted radioligands (CTRs) employing sulfur(VI) fluoride exchange (SuFEx) chemistry achieve ~13-fold improvement in tumor retention compared to conventional radioligands (5). In parallel, ligand-directed transfer (LDT) chemistry, pioneered by Hamachi and colleagues, offers a complementary covalent strategy: N-acyl-N-alkyl/aryl sulfonamide (NASA/ArNASA) warheads exploit proximity-driven effective molarity enhancement to achieve traceless covalent labeling of endogenous proteins, preferentially targeting lysine ε-amino groups (6–8). Unlike conventional affinity-based probes that permanently occupy binding pockets, LDT probes release their targeting ligand after covalent transfer, preserving native protein function. This “traceless” mechanism is particularly attractive for radiopharmaceutical applications where receptor-mediated internalization and recycling are critical for tumor retention.</w:t>
      </w:r>
    </w:p>
    <w:p w14:paraId="2D07CCF3">
      <w:pPr>
        <w:pStyle w:val="3"/>
      </w:pPr>
      <w:r>
        <w:rPr>
          <w:rFonts w:ascii="Times New Roman" w:hAnsi="Times New Roman"/>
        </w:rPr>
        <w:t>However, target selection for covalent radiopharmaceuticals requires considerations beyond expression level alone. The structural compatibility between the covalent warhead and the target protein—specifically, the presence of nucleophilic residues (Lys, Cys, Tyr, Ser) within or near a ligandable binding pocket—determines whether proximity-driven chemistry can proceed. LDT chemistry further constrains the choice of target residue: lysine forms stable amide adducts, whereas cysteine, tyrosine, and serine form hydrolytically labile thioester, phenol ester, and alkyl ester linkages, respectively (9,10). Histidine was reported as non-reactive with NASA warheads (10). No existing computational resource systematically evaluates surface protein targets through this structural chemistry lens.</w:t>
      </w:r>
    </w:p>
    <w:p w14:paraId="23160FF0">
      <w:pPr>
        <w:pStyle w:val="3"/>
      </w:pPr>
      <w:r>
        <w:rPr>
          <w:rFonts w:ascii="Times New Roman" w:hAnsi="Times New Roman"/>
        </w:rPr>
        <w:t>Several databases support surface protein target discovery, but none address covalent chemistry requirements. ImmunoTar (11) provides integrative prioritization of cell surface targets using expression and annotation data, designed for immunotherapy applications (CAR-T, antibody-drug conjugates). The Cancer Surfaceome Atlas (TCSA) (12) integrates multi-omics data to identify cancer-specific surface proteins for logic-gated CAR-T therapy. DrugMap (13) offers a pan-cancer cysteine ligandability atlas, but is not surface-focused and does not address lysine-targeted chemistries. None of these tools incorporate 3D pocket analysis, residue-level pKa prediction, or covalent chemistry scoring.</w:t>
      </w:r>
    </w:p>
    <w:p w14:paraId="7500F66F">
      <w:pPr>
        <w:pStyle w:val="3"/>
      </w:pPr>
      <w:r>
        <w:rPr>
          <w:rFonts w:ascii="Times New Roman" w:hAnsi="Times New Roman"/>
        </w:rPr>
        <w:t>Here we present LDT-TargetDB, the first database specifically designed for covalent radiopharmaceutical target discovery. LDT-TargetDB uniquely integrates five data layers with structure-guided covalent chemistry scoring, enabling systematic prioritization of surface protein targets for LDT-based radiopharmaceutical development.</w:t>
      </w:r>
    </w:p>
    <w:p w14:paraId="15F54C31">
      <w:pPr>
        <w:pStyle w:val="47"/>
        <w:rPr>
          <w:rFonts w:hint="eastAsia" w:eastAsiaTheme="minorEastAsia"/>
          <w:lang w:eastAsia="zh-CN"/>
        </w:rPr>
      </w:pPr>
      <w:r>
        <w:rPr>
          <w:rFonts w:hint="eastAsia" w:eastAsiaTheme="minorEastAsia"/>
          <w:lang w:eastAsia="zh-CN"/>
        </w:rPr>
        <w:drawing>
          <wp:inline distT="0" distB="0" distL="114300" distR="114300">
            <wp:extent cx="5485130" cy="3656965"/>
            <wp:effectExtent l="0" t="0" r="1270" b="635"/>
            <wp:docPr id="1" name="图片 1" descr="LDT_TargetDB_research_pipeline_9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DT_TargetDB_research_pipeline_900DPI"/>
                    <pic:cNvPicPr>
                      <a:picLocks noChangeAspect="1"/>
                    </pic:cNvPicPr>
                  </pic:nvPicPr>
                  <pic:blipFill>
                    <a:blip r:embed="rId6"/>
                    <a:stretch>
                      <a:fillRect/>
                    </a:stretch>
                  </pic:blipFill>
                  <pic:spPr>
                    <a:xfrm>
                      <a:off x="0" y="0"/>
                      <a:ext cx="5485130" cy="3656965"/>
                    </a:xfrm>
                    <a:prstGeom prst="rect">
                      <a:avLst/>
                    </a:prstGeom>
                  </pic:spPr>
                </pic:pic>
              </a:graphicData>
            </a:graphic>
          </wp:inline>
        </w:drawing>
      </w:r>
      <w:bookmarkStart w:id="17" w:name="_GoBack"/>
      <w:bookmarkEnd w:id="17"/>
    </w:p>
    <w:p w14:paraId="4401879E">
      <w:pPr>
        <w:pStyle w:val="45"/>
      </w:pPr>
      <w:r>
        <w:rPr>
          <w:rFonts w:ascii="Times New Roman" w:hAnsi="Times New Roman"/>
        </w:rPr>
        <w:t>Figure 0: LDT-TargetDB analysis pipeline overview.</w:t>
      </w:r>
    </w:p>
    <w:p w14:paraId="2A1080F6">
      <w:pPr>
        <w:pStyle w:val="3"/>
      </w:pPr>
      <w:r>
        <w:rPr>
          <w:rFonts w:ascii="Times New Roman" w:hAnsi="Times New Roman"/>
          <w:b/>
          <w:bCs/>
        </w:rPr>
        <w:t>Figure 1. LDT-TargetDB analysis pipeline.</w:t>
      </w:r>
      <w:r>
        <w:rPr>
          <w:rFonts w:ascii="Times New Roman" w:hAnsi="Times New Roman"/>
        </w:rPr>
        <w:t xml:space="preserve"> Five input data layers are integrated through a four-step processing pipeline to produce ranked LDT radiopharmaceutical targets with multi-dimensional validation. Statistics summarize the database scale.</w:t>
      </w:r>
    </w:p>
    <w:bookmarkEnd w:id="2"/>
    <w:p w14:paraId="3E5D5DC4">
      <w:pPr>
        <w:pStyle w:val="4"/>
      </w:pPr>
      <w:bookmarkStart w:id="3" w:name="database-description"/>
      <w:r>
        <w:rPr>
          <w:rFonts w:ascii="Times New Roman" w:hAnsi="Times New Roman"/>
        </w:rPr>
        <w:t>DATABASE DESCRIPTION</w:t>
      </w:r>
    </w:p>
    <w:p w14:paraId="29C1C250">
      <w:pPr>
        <w:pStyle w:val="5"/>
      </w:pPr>
      <w:bookmarkStart w:id="4" w:name="data-collection-and-processing-pipeline"/>
      <w:r>
        <w:rPr>
          <w:rFonts w:ascii="Times New Roman" w:hAnsi="Times New Roman"/>
        </w:rPr>
        <w:t>Data Collection and Processing Pipeline</w:t>
      </w:r>
    </w:p>
    <w:p w14:paraId="401D92FC">
      <w:pPr>
        <w:pStyle w:val="23"/>
      </w:pPr>
      <w:r>
        <w:rPr>
          <w:rFonts w:ascii="Times New Roman" w:hAnsi="Times New Roman"/>
          <w:b/>
          <w:bCs/>
        </w:rPr>
        <w:t>Surface Protein Definition.</w:t>
      </w:r>
      <w:r>
        <w:rPr>
          <w:rFonts w:ascii="Times New Roman" w:hAnsi="Times New Roman"/>
        </w:rPr>
        <w:t xml:space="preserve"> The primary surface protein set was obtained from the SURFY in silico human surfaceome (14,22), comprising 2,886 proteins predicted with 93.5% accuracy by meta-ensemble machine learning trained on mass spectrometry-validated cell surface capture data. After deduplication, 2,799 unique surface proteins were retained as the initial candidate set.</w:t>
      </w:r>
    </w:p>
    <w:p w14:paraId="01F24023">
      <w:pPr>
        <w:pStyle w:val="3"/>
      </w:pPr>
      <w:r>
        <w:rPr>
          <w:rFonts w:ascii="Times New Roman" w:hAnsi="Times New Roman"/>
          <w:b/>
          <w:bCs/>
        </w:rPr>
        <w:t>Tumor/Normal Expression Profiling.</w:t>
      </w:r>
      <w:r>
        <w:rPr>
          <w:rFonts w:ascii="Times New Roman" w:hAnsi="Times New Roman"/>
        </w:rPr>
        <w:t xml:space="preserve"> Pan-cancer RNA-seq data (TCGA, 33 cancer types, 9,186 tumor samples, 10,535 total) and normal tissue RNA-seq data (GTEx, 30 tissues, 7,862 samples) were obtained from UCSC Xena as log2(TPM+0.001) normalized expression matrices. A Tumor Specificity Index (TSI) was calculated for each surface gene as:</w:t>
      </w:r>
    </w:p>
    <w:p w14:paraId="356191C5">
      <w:pPr>
        <w:pStyle w:val="3"/>
      </w:pPr>
      <m:oMathPara>
        <m:oMathParaPr>
          <m:jc m:val="center"/>
        </m:oMathParaPr>
        <m:oMath>
          <m:r>
            <m:rPr/>
            <m:t>TSI</m:t>
          </m:r>
          <m:r>
            <m:rPr>
              <m:sty m:val="p"/>
            </m:rPr>
            <m:t>=</m:t>
          </m:r>
          <m:f>
            <m:fPr/>
            <m:num>
              <m:r>
                <m:rPr/>
                <m:t>F</m:t>
              </m:r>
              <m:sSub>
                <m:sSubPr/>
                <m:e>
                  <m:r>
                    <m:rPr/>
                    <m:t>C</m:t>
                  </m:r>
                </m:e>
                <m:sub>
                  <m:r>
                    <m:rPr/>
                    <m:t>log2</m:t>
                  </m:r>
                </m:sub>
              </m:sSub>
              <m:r>
                <m:rPr>
                  <m:sty m:val="p"/>
                </m:rPr>
                <m:t>×</m:t>
              </m:r>
              <m:sSub>
                <m:sSubPr/>
                <m:e>
                  <m:r>
                    <m:rPr/>
                    <m:t>P</m:t>
                  </m:r>
                </m:e>
                <m:sub>
                  <m:r>
                    <m:rPr/>
                    <m:t>tumor</m:t>
                  </m:r>
                </m:sub>
              </m:sSub>
            </m:num>
            <m:den>
              <m:rad>
                <m:radPr>
                  <m:degHide m:val="1"/>
                </m:radPr>
                <m:deg/>
                <m:e>
                  <m:sSub>
                    <m:sSubPr/>
                    <m:e>
                      <m:r>
                        <m:rPr/>
                        <m:t>N</m:t>
                      </m:r>
                    </m:e>
                    <m:sub>
                      <m:r>
                        <m:rPr/>
                        <m:t>normal</m:t>
                      </m:r>
                    </m:sub>
                  </m:sSub>
                  <m:r>
                    <m:rPr>
                      <m:sty m:val="p"/>
                    </m:rPr>
                    <m:t>+</m:t>
                  </m:r>
                  <m:r>
                    <m:rPr/>
                    <m:t>1</m:t>
                  </m:r>
                </m:e>
              </m:rad>
            </m:den>
          </m:f>
        </m:oMath>
      </m:oMathPara>
    </w:p>
    <w:p w14:paraId="0A0FC3F8">
      <w:pPr>
        <w:pStyle w:val="23"/>
      </w:pPr>
      <w:r>
        <w:rPr>
          <w:rFonts w:ascii="Times New Roman" w:hAnsi="Times New Roman"/>
        </w:rPr>
        <w:t xml:space="preserve">where </w:t>
      </w:r>
      <m:oMath>
        <m:r>
          <m:rPr/>
          <m:t>F</m:t>
        </m:r>
        <m:sSub>
          <m:sSubPr/>
          <m:e>
            <m:r>
              <m:rPr/>
              <m:t>C</m:t>
            </m:r>
          </m:e>
          <m:sub>
            <m:r>
              <m:rPr/>
              <m:t>log2</m:t>
            </m:r>
          </m:sub>
        </m:sSub>
      </m:oMath>
      <w:r>
        <w:rPr>
          <w:rFonts w:ascii="Times New Roman" w:hAnsi="Times New Roman"/>
        </w:rPr>
        <w:t xml:space="preserve"> is the log2 fold change of median tumor versus normal expression, </w:t>
      </w:r>
      <m:oMath>
        <m:sSub>
          <m:sSubPr/>
          <m:e>
            <m:r>
              <m:rPr/>
              <m:t>P</m:t>
            </m:r>
          </m:e>
          <m:sub>
            <m:r>
              <m:rPr/>
              <m:t>tumor</m:t>
            </m:r>
          </m:sub>
        </m:sSub>
      </m:oMath>
      <w:r>
        <w:rPr>
          <w:rFonts w:ascii="Times New Roman" w:hAnsi="Times New Roman"/>
        </w:rPr>
        <w:t xml:space="preserve"> is the fraction of tumor samples with TPM &gt; 1, and </w:t>
      </w:r>
      <m:oMath>
        <m:sSub>
          <m:sSubPr/>
          <m:e>
            <m:r>
              <m:rPr/>
              <m:t>N</m:t>
            </m:r>
          </m:e>
          <m:sub>
            <m:r>
              <m:rPr/>
              <m:t>normal</m:t>
            </m:r>
          </m:sub>
        </m:sSub>
      </m:oMath>
      <w:r>
        <w:rPr>
          <w:rFonts w:ascii="Times New Roman" w:hAnsi="Times New Roman"/>
        </w:rPr>
        <w:t xml:space="preserve"> is the number of GTEx tissues with expression exceeding 0.125 TPM. TSI was calculated for 2,663 surface genes with available expression data.</w:t>
      </w:r>
    </w:p>
    <w:p w14:paraId="1FEE9AA6">
      <w:pPr>
        <w:pStyle w:val="3"/>
      </w:pPr>
      <w:r>
        <w:rPr>
          <w:rFonts w:ascii="Times New Roman" w:hAnsi="Times New Roman"/>
          <w:b/>
          <w:bCs/>
        </w:rPr>
        <w:t>Single-Cell and Protein-Level Validation.</w:t>
      </w:r>
      <w:r>
        <w:rPr>
          <w:rFonts w:ascii="Times New Roman" w:hAnsi="Times New Roman"/>
        </w:rPr>
        <w:t xml:space="preserve"> Cell-type specificity was assessed using a comprehensive literature-curated marker database (41 malignant epithelial, 23 immune, and additional stromal/neural markers) cross-referenced with SURFY functional annotations. Protein-level tissue expression was validated using Human Protein Atlas (HPA) immunohistochemistry data (26,27) (1,199,675 entries spanning 15,306 genes across normal tissues), enabling direct assessment of off-target expression in healthy organs.</w:t>
      </w:r>
    </w:p>
    <w:p w14:paraId="22072D17">
      <w:pPr>
        <w:pStyle w:val="3"/>
      </w:pPr>
      <w:r>
        <w:rPr>
          <w:rFonts w:ascii="Times New Roman" w:hAnsi="Times New Roman"/>
          <w:b/>
          <w:bCs/>
        </w:rPr>
        <w:t>Structural Analysis.</w:t>
      </w:r>
      <w:r>
        <w:rPr>
          <w:rFonts w:ascii="Times New Roman" w:hAnsi="Times New Roman"/>
        </w:rPr>
        <w:t xml:space="preserve"> AlphaFold-predicted protein structures (v6) (17,18) were downloaded from the AlphaFold Protein Structure Database for all surface proteins with TSI &gt; −0.01 (2,490 proteins, 2,495 structures). Binding pocket detection was performed using pyKVFinder (19,20) with grid-based cavity detection (step=0.8 Å, probe_in=1.4 Å, probe_out=4.0 Å, volume cutoff=5.0 Å³). Structure quality was assessed by extracting per-residue pLDDT scores from atomic B-factors.</w:t>
      </w:r>
    </w:p>
    <w:p w14:paraId="67872BC9">
      <w:pPr>
        <w:pStyle w:val="3"/>
      </w:pPr>
      <w:r>
        <w:rPr>
          <w:rFonts w:ascii="Times New Roman" w:hAnsi="Times New Roman"/>
          <w:b/>
          <w:bCs/>
        </w:rPr>
        <w:t>Covalent Chemistry Scoring.</w:t>
      </w:r>
      <w:r>
        <w:rPr>
          <w:rFonts w:ascii="Times New Roman" w:hAnsi="Times New Roman"/>
        </w:rPr>
        <w:t xml:space="preserve"> For each detected pocket, we scored all nucleophilic residues (Lys, Cys, Tyr, Ser) based on three components:</w:t>
      </w:r>
    </w:p>
    <w:p w14:paraId="00FF2CB5">
      <w:pPr>
        <w:numPr>
          <w:ilvl w:val="0"/>
          <w:numId w:val="1"/>
        </w:numPr>
      </w:pPr>
      <w:r>
        <w:rPr>
          <w:rFonts w:ascii="Times New Roman" w:hAnsi="Times New Roman"/>
          <w:b/>
          <w:bCs/>
        </w:rPr>
        <w:t>Residue type weight</w:t>
      </w:r>
      <w:r>
        <w:rPr>
          <w:rFonts w:ascii="Times New Roman" w:hAnsi="Times New Roman"/>
        </w:rPr>
        <w:t xml:space="preserve"> (</w:t>
      </w:r>
      <m:oMath>
        <m:r>
          <m:rPr/>
          <m:t>w</m:t>
        </m:r>
      </m:oMath>
      <w:r>
        <w:rPr>
          <w:rFonts w:ascii="Times New Roman" w:hAnsi="Times New Roman"/>
        </w:rPr>
        <w:t>): Derived from NASA reactivity literature. Lys=1.0 (stable amide), Cys=0.3 (labile thioester), Tyr=0.2 (labile phenol ester), Ser=0.1 (labile alkyl ester). Histidine was excluded as literature reports no labeled product (10).</w:t>
      </w:r>
    </w:p>
    <w:p w14:paraId="436ACAB5">
      <w:pPr>
        <w:numPr>
          <w:ilvl w:val="0"/>
          <w:numId w:val="1"/>
        </w:numPr>
      </w:pPr>
      <w:r>
        <w:rPr>
          <w:rFonts w:ascii="Times New Roman" w:hAnsi="Times New Roman"/>
          <w:b/>
          <w:bCs/>
        </w:rPr>
        <w:t>pKa reactivity score</w:t>
      </w:r>
      <w:r>
        <w:rPr>
          <w:rFonts w:ascii="Times New Roman" w:hAnsi="Times New Roman"/>
        </w:rPr>
        <w:t xml:space="preserve"> (</w:t>
      </w:r>
      <m:oMath>
        <m:sSub>
          <m:sSubPr/>
          <m:e>
            <m:r>
              <m:rPr/>
              <m:t>p</m:t>
            </m:r>
          </m:e>
          <m:sub>
            <m:r>
              <m:rPr/>
              <m:t>s</m:t>
            </m:r>
          </m:sub>
        </m:sSub>
      </m:oMath>
      <w:r>
        <w:rPr>
          <w:rFonts w:ascii="Times New Roman" w:hAnsi="Times New Roman"/>
        </w:rPr>
        <w:t xml:space="preserve">): Calculated as </w:t>
      </w:r>
      <m:oMath>
        <m:sSub>
          <m:sSubPr/>
          <m:e>
            <m:r>
              <m:rPr/>
              <m:t>p</m:t>
            </m:r>
          </m:e>
          <m:sub>
            <m:r>
              <m:rPr/>
              <m:t>s</m:t>
            </m:r>
          </m:sub>
        </m:sSub>
        <m:r>
          <m:rPr>
            <m:sty m:val="p"/>
          </m:rPr>
          <m:t>=</m:t>
        </m:r>
        <m:sSup>
          <m:sSupPr/>
          <m:e>
            <m:r>
              <m:rPr/>
              <m:t>e</m:t>
            </m:r>
          </m:e>
          <m:sup>
            <m:r>
              <m:rPr>
                <m:sty m:val="p"/>
              </m:rPr>
              <m:t>−|</m:t>
            </m:r>
            <m:r>
              <m:rPr/>
              <m:t>pKa</m:t>
            </m:r>
            <m:r>
              <m:rPr>
                <m:sty m:val="p"/>
              </m:rPr>
              <m:t>−</m:t>
            </m:r>
            <m:r>
              <m:rPr/>
              <m:t>7.4</m:t>
            </m:r>
            <m:r>
              <m:rPr>
                <m:sty m:val="p"/>
              </m:rPr>
              <m:t>|/</m:t>
            </m:r>
            <m:r>
              <m:rPr/>
              <m:t>2</m:t>
            </m:r>
          </m:sup>
        </m:sSup>
      </m:oMath>
      <w:r>
        <w:rPr>
          <w:rFonts w:ascii="Times New Roman" w:hAnsi="Times New Roman"/>
        </w:rPr>
        <w:t>, where pKa values were experimentally predicted using PROPKA 3.5 (15). Residues with pKa closer to physiological pH receive higher scores.</w:t>
      </w:r>
    </w:p>
    <w:p w14:paraId="1C6B3B53">
      <w:pPr>
        <w:numPr>
          <w:ilvl w:val="0"/>
          <w:numId w:val="1"/>
        </w:numPr>
      </w:pPr>
      <w:r>
        <w:rPr>
          <w:rFonts w:ascii="Times New Roman" w:hAnsi="Times New Roman"/>
          <w:b/>
          <w:bCs/>
        </w:rPr>
        <w:t>Solvent accessibility score</w:t>
      </w:r>
      <w:r>
        <w:rPr>
          <w:rFonts w:ascii="Times New Roman" w:hAnsi="Times New Roman"/>
        </w:rPr>
        <w:t xml:space="preserve"> (</w:t>
      </w:r>
      <m:oMath>
        <m:sSub>
          <m:sSubPr/>
          <m:e>
            <m:r>
              <m:rPr/>
              <m:t>s</m:t>
            </m:r>
          </m:e>
          <m:sub>
            <m:r>
              <m:rPr/>
              <m:t>s</m:t>
            </m:r>
          </m:sub>
        </m:sSub>
      </m:oMath>
      <w:r>
        <w:rPr>
          <w:rFonts w:ascii="Times New Roman" w:hAnsi="Times New Roman"/>
        </w:rPr>
        <w:t xml:space="preserve">): </w:t>
      </w:r>
      <m:oMath>
        <m:sSub>
          <m:sSubPr/>
          <m:e>
            <m:r>
              <m:rPr/>
              <m:t>s</m:t>
            </m:r>
          </m:e>
          <m:sub>
            <m:r>
              <m:rPr/>
              <m:t>s</m:t>
            </m:r>
          </m:sub>
        </m:sSub>
        <m:r>
          <m:rPr>
            <m:sty m:val="p"/>
          </m:rPr>
          <m:t>=min(</m:t>
        </m:r>
        <m:r>
          <m:rPr/>
          <m:t>SAS</m:t>
        </m:r>
        <m:sSub>
          <m:sSubPr/>
          <m:e>
            <m:r>
              <m:rPr/>
              <m:t>A</m:t>
            </m:r>
          </m:e>
          <m:sub>
            <m:r>
              <m:rPr/>
              <m:t>rel</m:t>
            </m:r>
          </m:sub>
        </m:sSub>
        <m:r>
          <m:rPr>
            <m:sty m:val="p"/>
          </m:rPr>
          <m:t>/</m:t>
        </m:r>
        <m:r>
          <m:rPr/>
          <m:t>50</m:t>
        </m:r>
        <m:r>
          <m:rPr>
            <m:sty m:val="p"/>
          </m:rPr>
          <m:t>%,</m:t>
        </m:r>
        <m:r>
          <m:rPr/>
          <m:t>1.0</m:t>
        </m:r>
        <m:r>
          <m:rPr>
            <m:sty m:val="p"/>
          </m:rPr>
          <m:t>)</m:t>
        </m:r>
      </m:oMath>
      <w:r>
        <w:rPr>
          <w:rFonts w:ascii="Times New Roman" w:hAnsi="Times New Roman"/>
        </w:rPr>
        <w:t>, where relative solvent accessible surface area was calculated using FreeSASA (16).</w:t>
      </w:r>
    </w:p>
    <w:p w14:paraId="702C5B42">
      <w:pPr>
        <w:numPr>
          <w:ilvl w:val="0"/>
          <w:numId w:val="1"/>
        </w:numPr>
      </w:pPr>
      <w:r>
        <w:rPr>
          <w:rFonts w:ascii="Times New Roman" w:hAnsi="Times New Roman"/>
          <w:b/>
          <w:bCs/>
        </w:rPr>
        <w:t>Proximity boost</w:t>
      </w:r>
      <w:r>
        <w:rPr>
          <w:rFonts w:ascii="Times New Roman" w:hAnsi="Times New Roman"/>
        </w:rPr>
        <w:t xml:space="preserve"> (</w:t>
      </w:r>
      <m:oMath>
        <m:r>
          <m:rPr/>
          <m:t>b</m:t>
        </m:r>
      </m:oMath>
      <w:r>
        <w:rPr>
          <w:rFonts w:ascii="Times New Roman" w:hAnsi="Times New Roman"/>
        </w:rPr>
        <w:t>): Lys receives a 2× factor reflecting the proximity-driven effective molarity enhancement (~10⁶-fold) that overcomes its high pKa (~10.5) in LDT chemistry (6).</w:t>
      </w:r>
    </w:p>
    <w:p w14:paraId="3D79B16F">
      <w:pPr>
        <w:pStyle w:val="23"/>
      </w:pPr>
      <w:r>
        <w:rPr>
          <w:rFonts w:ascii="Times New Roman" w:hAnsi="Times New Roman"/>
        </w:rPr>
        <w:t xml:space="preserve">The LDT Transferability Score (LTS) for a pocket was defined as the maximum residue score: </w:t>
      </w:r>
      <m:oMath>
        <m:r>
          <m:rPr/>
          <m:t>LTS</m:t>
        </m:r>
        <m:r>
          <m:rPr>
            <m:sty m:val="p"/>
          </m:rPr>
          <m:t>=max(</m:t>
        </m:r>
        <m:r>
          <m:rPr/>
          <m:t>w</m:t>
        </m:r>
        <m:r>
          <m:rPr>
            <m:sty m:val="p"/>
          </m:rPr>
          <m:t>×</m:t>
        </m:r>
        <m:sSub>
          <m:sSubPr/>
          <m:e>
            <m:r>
              <m:rPr/>
              <m:t>p</m:t>
            </m:r>
          </m:e>
          <m:sub>
            <m:r>
              <m:rPr/>
              <m:t>s</m:t>
            </m:r>
          </m:sub>
        </m:sSub>
        <m:r>
          <m:rPr>
            <m:sty m:val="p"/>
          </m:rPr>
          <m:t>×</m:t>
        </m:r>
        <m:sSub>
          <m:sSubPr/>
          <m:e>
            <m:r>
              <m:rPr/>
              <m:t>s</m:t>
            </m:r>
          </m:e>
          <m:sub>
            <m:r>
              <m:rPr/>
              <m:t>s</m:t>
            </m:r>
          </m:sub>
        </m:sSub>
        <m:r>
          <m:rPr>
            <m:sty m:val="p"/>
          </m:rPr>
          <m:t>×</m:t>
        </m:r>
        <m:r>
          <m:rPr/>
          <m:t>b</m:t>
        </m:r>
        <m:r>
          <m:rPr>
            <m:sty m:val="p"/>
          </m:rPr>
          <m:t>)</m:t>
        </m:r>
      </m:oMath>
      <w:r>
        <w:rPr>
          <w:rFonts w:ascii="Times New Roman" w:hAnsi="Times New Roman"/>
        </w:rPr>
        <w:t xml:space="preserve"> across all qualifying residues in the pocket.</w:t>
      </w:r>
    </w:p>
    <w:p w14:paraId="4C3FF548">
      <w:pPr>
        <w:pStyle w:val="3"/>
      </w:pPr>
      <w:r>
        <w:rPr>
          <w:rFonts w:ascii="Times New Roman" w:hAnsi="Times New Roman"/>
          <w:b/>
          <w:bCs/>
        </w:rPr>
        <w:t>Composite Scoring.</w:t>
      </w:r>
      <w:r>
        <w:rPr>
          <w:rFonts w:ascii="Times New Roman" w:hAnsi="Times New Roman"/>
        </w:rPr>
        <w:t xml:space="preserve"> An enhanced composite score integrates five dimensions:</w:t>
      </w:r>
    </w:p>
    <w:p w14:paraId="58A722C7">
      <w:pPr>
        <w:pStyle w:val="3"/>
      </w:pPr>
      <m:oMathPara>
        <m:oMathParaPr>
          <m:jc m:val="center"/>
        </m:oMathParaPr>
        <m:oMath>
          <m:sSub>
            <m:sSubPr/>
            <m:e>
              <m:r>
                <m:rPr/>
                <m:t>S</m:t>
              </m:r>
            </m:e>
            <m:sub>
              <m:r>
                <m:rPr/>
                <m:t>enhanced</m:t>
              </m:r>
            </m:sub>
          </m:sSub>
          <m:r>
            <m:rPr>
              <m:sty m:val="p"/>
            </m:rPr>
            <m:t>=</m:t>
          </m:r>
          <m:r>
            <m:rPr/>
            <m:t>0.35</m:t>
          </m:r>
          <m:r>
            <m:rPr>
              <m:sty m:val="p"/>
            </m:rPr>
            <m:t>×</m:t>
          </m:r>
          <m:r>
            <m:rPr/>
            <m:t>TSI</m:t>
          </m:r>
          <m:r>
            <m:rPr>
              <m:sty m:val="p"/>
            </m:rPr>
            <m:t>+</m:t>
          </m:r>
          <m:r>
            <m:rPr/>
            <m:t>0.25</m:t>
          </m:r>
          <m:r>
            <m:rPr>
              <m:sty m:val="p"/>
            </m:rPr>
            <m:t>×</m:t>
          </m:r>
          <m:sSub>
            <m:sSubPr/>
            <m:e>
              <m:r>
                <m:rPr/>
                <m:t>V</m:t>
              </m:r>
            </m:e>
            <m:sub>
              <m:r>
                <m:rPr/>
                <m:t>pocket</m:t>
              </m:r>
            </m:sub>
          </m:sSub>
          <m:r>
            <m:rPr>
              <m:sty m:val="p"/>
            </m:rPr>
            <m:t>+</m:t>
          </m:r>
          <m:r>
            <m:rPr/>
            <m:t>0.25</m:t>
          </m:r>
          <m:r>
            <m:rPr>
              <m:sty m:val="p"/>
            </m:rPr>
            <m:t>×</m:t>
          </m:r>
          <m:r>
            <m:rPr/>
            <m:t>LTS</m:t>
          </m:r>
          <m:r>
            <m:rPr>
              <m:sty m:val="p"/>
            </m:rPr>
            <m:t>+</m:t>
          </m:r>
          <m:r>
            <m:rPr/>
            <m:t>0.10</m:t>
          </m:r>
          <m:r>
            <m:rPr>
              <m:sty m:val="p"/>
            </m:rPr>
            <m:t>×(</m:t>
          </m:r>
          <m:r>
            <m:rPr/>
            <m:t>1</m:t>
          </m:r>
          <m:r>
            <m:rPr>
              <m:sty m:val="p"/>
            </m:rPr>
            <m:t>−</m:t>
          </m:r>
          <m:r>
            <m:rPr/>
            <m:t>pLDD</m:t>
          </m:r>
          <m:sSub>
            <m:sSubPr/>
            <m:e>
              <m:r>
                <m:rPr/>
                <m:t>T</m:t>
              </m:r>
            </m:e>
            <m:sub>
              <m:r>
                <m:rPr>
                  <m:sty m:val="p"/>
                </m:rPr>
                <m:t>&lt;</m:t>
              </m:r>
              <m:r>
                <m:rPr/>
                <m:t>70</m:t>
              </m:r>
            </m:sub>
          </m:sSub>
          <m:r>
            <m:rPr>
              <m:sty m:val="p"/>
            </m:rPr>
            <m:t>/</m:t>
          </m:r>
          <m:r>
            <m:rPr/>
            <m:t>100</m:t>
          </m:r>
          <m:r>
            <m:rPr>
              <m:sty m:val="p"/>
            </m:rPr>
            <m:t>)+</m:t>
          </m:r>
          <m:r>
            <m:rPr/>
            <m:t>0.05</m:t>
          </m:r>
          <m:r>
            <m:rPr>
              <m:sty m:val="p"/>
            </m:rPr>
            <m:t>×</m:t>
          </m:r>
          <m:r>
            <m:rPr/>
            <m:t>D</m:t>
          </m:r>
        </m:oMath>
      </m:oMathPara>
    </w:p>
    <w:p w14:paraId="0657B521">
      <w:pPr>
        <w:pStyle w:val="23"/>
      </w:pPr>
      <w:r>
        <w:rPr>
          <w:rFonts w:ascii="Times New Roman" w:hAnsi="Times New Roman"/>
        </w:rPr>
        <w:t xml:space="preserve">where </w:t>
      </w:r>
      <m:oMath>
        <m:sSub>
          <m:sSubPr/>
          <m:e>
            <m:r>
              <m:rPr/>
              <m:t>V</m:t>
            </m:r>
          </m:e>
          <m:sub>
            <m:r>
              <m:rPr/>
              <m:t>pocket</m:t>
            </m:r>
          </m:sub>
        </m:sSub>
      </m:oMath>
      <w:r>
        <w:rPr>
          <w:rFonts w:ascii="Times New Roman" w:hAnsi="Times New Roman"/>
        </w:rPr>
        <w:t xml:space="preserve"> is the normalized maximum pocket volume, </w:t>
      </w:r>
      <m:oMath>
        <m:r>
          <m:rPr/>
          <m:t>pLDD</m:t>
        </m:r>
        <m:sSub>
          <m:sSubPr/>
          <m:e>
            <m:r>
              <m:rPr/>
              <m:t>T</m:t>
            </m:r>
          </m:e>
          <m:sub>
            <m:r>
              <m:rPr>
                <m:sty m:val="p"/>
              </m:rPr>
              <m:t>&lt;</m:t>
            </m:r>
            <m:r>
              <m:rPr/>
              <m:t>70</m:t>
            </m:r>
          </m:sub>
        </m:sSub>
      </m:oMath>
      <w:r>
        <w:rPr>
          <w:rFonts w:ascii="Times New Roman" w:hAnsi="Times New Roman"/>
        </w:rPr>
        <w:t xml:space="preserve"> is the percentage of residues with pLDDT below 70, and </w:t>
      </w:r>
      <m:oMath>
        <m:r>
          <m:rPr/>
          <m:t>D</m:t>
        </m:r>
      </m:oMath>
      <w:r>
        <w:rPr>
          <w:rFonts w:ascii="Times New Roman" w:hAnsi="Times New Roman"/>
        </w:rPr>
        <w:t xml:space="preserve"> is the DepMap essentiality score (Essential=1.0, Context-dependent=0.7, Non-essential=0.3, No data=0).</w:t>
      </w:r>
    </w:p>
    <w:p w14:paraId="4705C21D">
      <w:pPr>
        <w:pStyle w:val="47"/>
      </w:pPr>
      <w:r>
        <w:rPr>
          <w:rFonts w:ascii="Times New Roman" w:hAnsi="Times New Roman"/>
        </w:rPr>
        <w:drawing>
          <wp:inline distT="0" distB="0" distL="114300" distR="114300">
            <wp:extent cx="5334000" cy="1876425"/>
            <wp:effectExtent l="0" t="0" r="0" b="0"/>
            <wp:docPr id="15" name="Picture" descr="Figure 4: Tumor expression levels and positive rates of top 30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Figure 4: Tumor expression levels and positive rates of top 30 targets."/>
                    <pic:cNvPicPr>
                      <a:picLocks noChangeAspect="1" noChangeArrowheads="1"/>
                    </pic:cNvPicPr>
                  </pic:nvPicPr>
                  <pic:blipFill>
                    <a:blip r:embed="rId7"/>
                    <a:stretch>
                      <a:fillRect/>
                    </a:stretch>
                  </pic:blipFill>
                  <pic:spPr>
                    <a:xfrm>
                      <a:off x="0" y="0"/>
                      <a:ext cx="5334000" cy="1876493"/>
                    </a:xfrm>
                    <a:prstGeom prst="rect">
                      <a:avLst/>
                    </a:prstGeom>
                    <a:noFill/>
                    <a:ln w="9525">
                      <a:noFill/>
                    </a:ln>
                  </pic:spPr>
                </pic:pic>
              </a:graphicData>
            </a:graphic>
          </wp:inline>
        </w:drawing>
      </w:r>
    </w:p>
    <w:p w14:paraId="76FB4A7F">
      <w:pPr>
        <w:pStyle w:val="45"/>
      </w:pPr>
      <w:r>
        <w:rPr>
          <w:rFonts w:ascii="Times New Roman" w:hAnsi="Times New Roman"/>
        </w:rPr>
        <w:t>Figure 4: Tumor expression levels and positive rates of top 30 targets.</w:t>
      </w:r>
    </w:p>
    <w:p w14:paraId="78A50BA0">
      <w:pPr>
        <w:pStyle w:val="3"/>
      </w:pPr>
      <w:r>
        <w:rPr>
          <w:rFonts w:ascii="Times New Roman" w:hAnsi="Times New Roman"/>
          <w:b/>
          <w:bCs/>
        </w:rPr>
        <w:t>Figure 3. Tumor expression profiles of top LDT targets.</w:t>
      </w:r>
      <w:r>
        <w:rPr>
          <w:rFonts w:ascii="Times New Roman" w:hAnsi="Times New Roman"/>
        </w:rPr>
        <w:t xml:space="preserve"> (A) Tumor median log2(TPM) for top 30 targets. (B) Tumor positive rate (fraction of TCGA samples with TPM &gt; 1).</w:t>
      </w:r>
    </w:p>
    <w:p w14:paraId="74729448">
      <w:pPr>
        <w:pStyle w:val="3"/>
      </w:pPr>
      <w:r>
        <w:rPr>
          <w:rFonts w:ascii="Times New Roman" w:hAnsi="Times New Roman"/>
          <w:b/>
          <w:bCs/>
        </w:rPr>
        <w:t>Cancer-Type Specific Analysis.</w:t>
      </w:r>
      <w:r>
        <w:rPr>
          <w:rFonts w:ascii="Times New Roman" w:hAnsi="Times New Roman"/>
        </w:rPr>
        <w:t xml:space="preserve"> To enable cancer-type-specific target prioritization, we mapped 9,563 TCGA tumor samples (91% of all samples) to 32 cancer types using cBioPortal study metadata (30,31). For each target gene, median expression was calculated per cancer type, enabling identification of optimal indications.</w:t>
      </w:r>
    </w:p>
    <w:p w14:paraId="708F00D1">
      <w:pPr>
        <w:pStyle w:val="47"/>
      </w:pPr>
      <w:r>
        <w:rPr>
          <w:rFonts w:ascii="Times New Roman" w:hAnsi="Times New Roman"/>
        </w:rPr>
        <w:drawing>
          <wp:inline distT="0" distB="0" distL="114300" distR="114300">
            <wp:extent cx="5334000" cy="2487295"/>
            <wp:effectExtent l="0" t="0" r="0" b="0"/>
            <wp:docPr id="18" name="Picture" descr="Figure 6: Cancer-type specific express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Figure 6: Cancer-type specific expression heatmap."/>
                    <pic:cNvPicPr>
                      <a:picLocks noChangeAspect="1" noChangeArrowheads="1"/>
                    </pic:cNvPicPr>
                  </pic:nvPicPr>
                  <pic:blipFill>
                    <a:blip r:embed="rId8"/>
                    <a:stretch>
                      <a:fillRect/>
                    </a:stretch>
                  </pic:blipFill>
                  <pic:spPr>
                    <a:xfrm>
                      <a:off x="0" y="0"/>
                      <a:ext cx="5334000" cy="2487419"/>
                    </a:xfrm>
                    <a:prstGeom prst="rect">
                      <a:avLst/>
                    </a:prstGeom>
                    <a:noFill/>
                    <a:ln w="9525">
                      <a:noFill/>
                    </a:ln>
                  </pic:spPr>
                </pic:pic>
              </a:graphicData>
            </a:graphic>
          </wp:inline>
        </w:drawing>
      </w:r>
    </w:p>
    <w:p w14:paraId="6CE2C6A7">
      <w:pPr>
        <w:pStyle w:val="45"/>
      </w:pPr>
      <w:r>
        <w:rPr>
          <w:rFonts w:ascii="Times New Roman" w:hAnsi="Times New Roman"/>
        </w:rPr>
        <w:t>Figure 6: Cancer-type specific expression heatmap.</w:t>
      </w:r>
    </w:p>
    <w:p w14:paraId="067B24BE">
      <w:pPr>
        <w:pStyle w:val="3"/>
      </w:pPr>
      <w:r>
        <w:rPr>
          <w:rFonts w:ascii="Times New Roman" w:hAnsi="Times New Roman"/>
          <w:b/>
          <w:bCs/>
        </w:rPr>
        <w:t>Figure 4. Cancer-type specific expression of top LDT targets.</w:t>
      </w:r>
      <w:r>
        <w:rPr>
          <w:rFonts w:ascii="Times New Roman" w:hAnsi="Times New Roman"/>
        </w:rPr>
        <w:t xml:space="preserve"> Heatmap showing median log2(TPM) values for top 15 targets across major cancer types.</w:t>
      </w:r>
    </w:p>
    <w:p w14:paraId="232E3BD0">
      <w:pPr>
        <w:pStyle w:val="47"/>
      </w:pPr>
      <w:r>
        <w:rPr>
          <w:rFonts w:ascii="Times New Roman" w:hAnsi="Times New Roman"/>
        </w:rPr>
        <w:drawing>
          <wp:inline distT="0" distB="0" distL="114300" distR="114300">
            <wp:extent cx="5334000" cy="1843405"/>
            <wp:effectExtent l="0" t="0" r="0" b="0"/>
            <wp:docPr id="21" name="Picture" descr="Figure 5: pLDDT confidence and pocket cou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Figure 5: pLDDT confidence and pocket count distribution."/>
                    <pic:cNvPicPr>
                      <a:picLocks noChangeAspect="1" noChangeArrowheads="1"/>
                    </pic:cNvPicPr>
                  </pic:nvPicPr>
                  <pic:blipFill>
                    <a:blip r:embed="rId9"/>
                    <a:stretch>
                      <a:fillRect/>
                    </a:stretch>
                  </pic:blipFill>
                  <pic:spPr>
                    <a:xfrm>
                      <a:off x="0" y="0"/>
                      <a:ext cx="5334000" cy="1844003"/>
                    </a:xfrm>
                    <a:prstGeom prst="rect">
                      <a:avLst/>
                    </a:prstGeom>
                    <a:noFill/>
                    <a:ln w="9525">
                      <a:noFill/>
                    </a:ln>
                  </pic:spPr>
                </pic:pic>
              </a:graphicData>
            </a:graphic>
          </wp:inline>
        </w:drawing>
      </w:r>
    </w:p>
    <w:p w14:paraId="47DE13CB">
      <w:pPr>
        <w:pStyle w:val="45"/>
      </w:pPr>
      <w:r>
        <w:rPr>
          <w:rFonts w:ascii="Times New Roman" w:hAnsi="Times New Roman"/>
        </w:rPr>
        <w:t>Figure 5: pLDDT confidence and pocket count distribution.</w:t>
      </w:r>
    </w:p>
    <w:p w14:paraId="6125A649">
      <w:pPr>
        <w:pStyle w:val="3"/>
      </w:pPr>
      <w:r>
        <w:rPr>
          <w:rFonts w:ascii="Times New Roman" w:hAnsi="Times New Roman"/>
          <w:b/>
          <w:bCs/>
        </w:rPr>
        <w:t>Figure 5. Structure quality assessment.</w:t>
      </w:r>
      <w:r>
        <w:rPr>
          <w:rFonts w:ascii="Times New Roman" w:hAnsi="Times New Roman"/>
        </w:rPr>
        <w:t xml:space="preserve"> (A) Mean pLDDT versus LDT transferability score, with top 10 targets labeled and arrows. (B) Distribution of pocket counts across all analyzed structures.</w:t>
      </w:r>
    </w:p>
    <w:p w14:paraId="64050565">
      <w:pPr>
        <w:pStyle w:val="47"/>
      </w:pPr>
      <w:r>
        <w:rPr>
          <w:rFonts w:ascii="Times New Roman" w:hAnsi="Times New Roman"/>
        </w:rPr>
        <w:drawing>
          <wp:inline distT="0" distB="0" distL="114300" distR="114300">
            <wp:extent cx="5334000" cy="2073910"/>
            <wp:effectExtent l="0" t="0" r="0" b="0"/>
            <wp:docPr id="24" name="Picture" descr="Figure 7: Covalent strateg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 7: Covalent strategy comparison."/>
                    <pic:cNvPicPr>
                      <a:picLocks noChangeAspect="1" noChangeArrowheads="1"/>
                    </pic:cNvPicPr>
                  </pic:nvPicPr>
                  <pic:blipFill>
                    <a:blip r:embed="rId10"/>
                    <a:stretch>
                      <a:fillRect/>
                    </a:stretch>
                  </pic:blipFill>
                  <pic:spPr>
                    <a:xfrm>
                      <a:off x="0" y="0"/>
                      <a:ext cx="5334000" cy="2074490"/>
                    </a:xfrm>
                    <a:prstGeom prst="rect">
                      <a:avLst/>
                    </a:prstGeom>
                    <a:noFill/>
                    <a:ln w="9525">
                      <a:noFill/>
                    </a:ln>
                  </pic:spPr>
                </pic:pic>
              </a:graphicData>
            </a:graphic>
          </wp:inline>
        </w:drawing>
      </w:r>
    </w:p>
    <w:p w14:paraId="114D0644">
      <w:pPr>
        <w:pStyle w:val="45"/>
      </w:pPr>
      <w:r>
        <w:rPr>
          <w:rFonts w:ascii="Times New Roman" w:hAnsi="Times New Roman"/>
        </w:rPr>
        <w:t>Figure 7: Covalent strategy comparison.</w:t>
      </w:r>
    </w:p>
    <w:p w14:paraId="4F65434E">
      <w:pPr>
        <w:pStyle w:val="3"/>
      </w:pPr>
      <w:r>
        <w:rPr>
          <w:rFonts w:ascii="Times New Roman" w:hAnsi="Times New Roman"/>
          <w:b/>
          <w:bCs/>
        </w:rPr>
        <w:t>Figure 6. Covalent strategy comparison.</w:t>
      </w:r>
      <w:r>
        <w:rPr>
          <w:rFonts w:ascii="Times New Roman" w:hAnsi="Times New Roman"/>
        </w:rPr>
        <w:t xml:space="preserve"> (A) Distribution of optimal covalent strategy per target (LDT-NASA, SuFEx-CTR, or traditional cysteine-targeted). (B) Score distributions for the three covalent strategies.</w:t>
      </w:r>
    </w:p>
    <w:p w14:paraId="170DB243">
      <w:pPr>
        <w:pStyle w:val="3"/>
      </w:pPr>
      <w:r>
        <w:rPr>
          <w:rFonts w:ascii="Times New Roman" w:hAnsi="Times New Roman"/>
          <w:b/>
          <w:bCs/>
        </w:rPr>
        <w:t>Validation Datasets.</w:t>
      </w:r>
      <w:r>
        <w:rPr>
          <w:rFonts w:ascii="Times New Roman" w:hAnsi="Times New Roman"/>
        </w:rPr>
        <w:t xml:space="preserve"> Gene essentiality data were obtained from DepMap 25Q4 (CRISPR Chronos scores (25); 18,531 genes × 1,208 cell lines) (23,24,33). Disease associations were queried from Open Targets Platform v4 (28). Cross-species conservation was assessed via Ensembl Compara REST API (29) (orthologue counts across model organisms). TCGA pan-cancer mutation frequencies were obtained from FireBrowse across 37 TCGA cohorts. GO enrichment and protein–protein interaction analyses were performed using STRING (32).</w:t>
      </w:r>
    </w:p>
    <w:bookmarkEnd w:id="4"/>
    <w:p w14:paraId="17D62FEB">
      <w:pPr>
        <w:pStyle w:val="5"/>
      </w:pPr>
      <w:bookmarkStart w:id="5" w:name="database-statistics"/>
      <w:r>
        <w:rPr>
          <w:rFonts w:ascii="Times New Roman" w:hAnsi="Times New Roman"/>
        </w:rPr>
        <w:t>Database Statistics</w:t>
      </w:r>
    </w:p>
    <w:p w14:paraId="0592DCB8">
      <w:pPr>
        <w:pStyle w:val="47"/>
      </w:pPr>
      <w:r>
        <w:rPr>
          <w:rFonts w:ascii="Times New Roman" w:hAnsi="Times New Roman"/>
        </w:rPr>
        <w:drawing>
          <wp:inline distT="0" distB="0" distL="114300" distR="114300">
            <wp:extent cx="5334000" cy="1492885"/>
            <wp:effectExtent l="0" t="0" r="0" b="0"/>
            <wp:docPr id="28" name="Picture" descr="Figure 1: TSI distribution, pocket detection, and TSI vs LDT sc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 1: TSI distribution, pocket detection, and TSI vs LDT scoring."/>
                    <pic:cNvPicPr>
                      <a:picLocks noChangeAspect="1" noChangeArrowheads="1"/>
                    </pic:cNvPicPr>
                  </pic:nvPicPr>
                  <pic:blipFill>
                    <a:blip r:embed="rId11"/>
                    <a:stretch>
                      <a:fillRect/>
                    </a:stretch>
                  </pic:blipFill>
                  <pic:spPr>
                    <a:xfrm>
                      <a:off x="0" y="0"/>
                      <a:ext cx="5334000" cy="1492931"/>
                    </a:xfrm>
                    <a:prstGeom prst="rect">
                      <a:avLst/>
                    </a:prstGeom>
                    <a:noFill/>
                    <a:ln w="9525">
                      <a:noFill/>
                    </a:ln>
                  </pic:spPr>
                </pic:pic>
              </a:graphicData>
            </a:graphic>
          </wp:inline>
        </w:drawing>
      </w:r>
    </w:p>
    <w:p w14:paraId="13212892">
      <w:pPr>
        <w:pStyle w:val="45"/>
      </w:pPr>
      <w:r>
        <w:rPr>
          <w:rFonts w:ascii="Times New Roman" w:hAnsi="Times New Roman"/>
        </w:rPr>
        <w:t>Figure 1: TSI distribution, pocket detection, and TSI vs LDT scoring.</w:t>
      </w:r>
    </w:p>
    <w:p w14:paraId="64A2DCF6">
      <w:pPr>
        <w:pStyle w:val="3"/>
      </w:pPr>
      <w:r>
        <w:rPr>
          <w:rFonts w:ascii="Times New Roman" w:hAnsi="Times New Roman"/>
          <w:b/>
          <w:bCs/>
        </w:rPr>
        <w:t>Figure 2. Database overview.</w:t>
      </w:r>
      <w:r>
        <w:rPr>
          <w:rFonts w:ascii="Times New Roman" w:hAnsi="Times New Roman"/>
        </w:rPr>
        <w:t xml:space="preserve"> (A) Distribution of Tumor Specificity Index across 2,663 surface proteins. (B) Number of binding pockets detected per protein. (C) TSI versus LDT transferability score, colored by best nucleophile residue type.</w:t>
      </w:r>
    </w:p>
    <w:p w14:paraId="3FAD5CBA">
      <w:pPr>
        <w:pStyle w:val="3"/>
      </w:pPr>
      <w:r>
        <w:rPr>
          <w:rFonts w:ascii="Times New Roman" w:hAnsi="Times New Roman"/>
        </w:rPr>
        <w:t>A total of 2,799 surface proteins were evaluated, of which 2,663 had expression data and 2,490 had available AlphaFold structures. Binding pocket detection identified cavities in all 2,473 successfully analyzed proteins, and 2,378 (96.2%) harbored at least one LDT-qualifying nucleophilic residue within their largest pocket. The enhanced composite scoring framework integrates 2,473 proteins with complete multi-dimensional data. The database covers 32 cancer types with 9,186 tumor samples for expression analysis, supplemented by 1,199,675 HPA protein IHC entries, 30 Open Targets disease association queries, 20 cross-species conservation analyses, and mutation data across 37 TCGA cohorts.</w:t>
      </w:r>
    </w:p>
    <w:bookmarkEnd w:id="5"/>
    <w:p w14:paraId="67FC4850">
      <w:pPr>
        <w:pStyle w:val="5"/>
      </w:pPr>
      <w:bookmarkStart w:id="6" w:name="top-ranked-targets"/>
      <w:r>
        <w:rPr>
          <w:rFonts w:ascii="Times New Roman" w:hAnsi="Times New Roman"/>
        </w:rPr>
        <w:t>Top-Ranked Targets</w:t>
      </w:r>
    </w:p>
    <w:p w14:paraId="26B767FE">
      <w:pPr>
        <w:pStyle w:val="47"/>
      </w:pPr>
      <w:r>
        <w:rPr>
          <w:rFonts w:ascii="Times New Roman" w:hAnsi="Times New Roman"/>
        </w:rPr>
        <w:drawing>
          <wp:inline distT="0" distB="0" distL="114300" distR="114300">
            <wp:extent cx="5334000" cy="2382520"/>
            <wp:effectExtent l="0" t="0" r="0" b="0"/>
            <wp:docPr id="32" name="Picture" descr="Figure 2: TOP20 targets and nucleophil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Figure 2: TOP20 targets and nucleophile distribution."/>
                    <pic:cNvPicPr>
                      <a:picLocks noChangeAspect="1" noChangeArrowheads="1"/>
                    </pic:cNvPicPr>
                  </pic:nvPicPr>
                  <pic:blipFill>
                    <a:blip r:embed="rId12"/>
                    <a:stretch>
                      <a:fillRect/>
                    </a:stretch>
                  </pic:blipFill>
                  <pic:spPr>
                    <a:xfrm>
                      <a:off x="0" y="0"/>
                      <a:ext cx="5334000" cy="2382960"/>
                    </a:xfrm>
                    <a:prstGeom prst="rect">
                      <a:avLst/>
                    </a:prstGeom>
                    <a:noFill/>
                    <a:ln w="9525">
                      <a:noFill/>
                    </a:ln>
                  </pic:spPr>
                </pic:pic>
              </a:graphicData>
            </a:graphic>
          </wp:inline>
        </w:drawing>
      </w:r>
    </w:p>
    <w:p w14:paraId="61B295D3">
      <w:pPr>
        <w:pStyle w:val="45"/>
      </w:pPr>
      <w:r>
        <w:rPr>
          <w:rFonts w:ascii="Times New Roman" w:hAnsi="Times New Roman"/>
        </w:rPr>
        <w:t>Figure 2: TOP20 targets and nucleophile distribution.</w:t>
      </w:r>
    </w:p>
    <w:p w14:paraId="4E0FDC70">
      <w:pPr>
        <w:pStyle w:val="3"/>
      </w:pPr>
      <w:r>
        <w:rPr>
          <w:rFonts w:ascii="Times New Roman" w:hAnsi="Times New Roman"/>
          <w:b/>
          <w:bCs/>
        </w:rPr>
        <w:t>Figure 7. Top-ranked LDT radiopharmaceutical targets.</w:t>
      </w:r>
      <w:r>
        <w:rPr>
          <w:rFonts w:ascii="Times New Roman" w:hAnsi="Times New Roman"/>
        </w:rPr>
        <w:t xml:space="preserve"> (A) Top 20 targets ranked by composite score, colored by best nucleophile residue type. (B) Distribution of nucleophile types in best pockets across all 2,473 ranked proteins.</w:t>
      </w:r>
    </w:p>
    <w:p w14:paraId="6C618E0B">
      <w:pPr>
        <w:pStyle w:val="3"/>
      </w:pPr>
      <w:r>
        <w:rPr>
          <w:rFonts w:ascii="Times New Roman" w:hAnsi="Times New Roman"/>
        </w:rPr>
        <w:t>The top 30 LDT-TargetDB entries are dominated by lysine-containing pockets (28/30, 93%), reflecting the NASA chemistry preference for stable amide bond formation. The top five targets include ABCC5 (ATP-binding cassette transporter, enhanced score 0.578), MUC1 (mucin-1, score 0.559), ILDR1 (immunoglobulin-like domain-containing receptor 1, score 0.517), CDH1 (E-cadherin, score 0.491), and LY75 (lymphocyte antigen 75, score 0.479). Several top-ranked targets represent clinically validated or emerging cancer surface proteins: CLDN4 (rank 8, score 0.460), EPCAM (rank 9, score 0.450), and TACSTD2/Trop-2 (rank 26, score 0.403). The complete ranked list of 2,473 proteins is available through the web interface.</w:t>
      </w:r>
    </w:p>
    <w:bookmarkEnd w:id="6"/>
    <w:p w14:paraId="4CACE667">
      <w:pPr>
        <w:pStyle w:val="5"/>
      </w:pPr>
      <w:bookmarkStart w:id="7" w:name="Xf246d609939bca11ae27f044deb82b086bd85d0"/>
      <w:r>
        <w:rPr>
          <w:rFonts w:ascii="Times New Roman" w:hAnsi="Times New Roman"/>
        </w:rPr>
        <w:t>Validation Against Known Nuclear Medicine Targets</w:t>
      </w:r>
    </w:p>
    <w:p w14:paraId="51609A59">
      <w:pPr>
        <w:pStyle w:val="47"/>
      </w:pPr>
      <w:r>
        <w:rPr>
          <w:rFonts w:ascii="Times New Roman" w:hAnsi="Times New Roman"/>
        </w:rPr>
        <w:drawing>
          <wp:inline distT="0" distB="0" distL="114300" distR="114300">
            <wp:extent cx="5334000" cy="1899920"/>
            <wp:effectExtent l="0" t="0" r="0" b="0"/>
            <wp:docPr id="36" name="Picture" descr="Figure 3: Known target validation and DepMap essenti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 3: Known target validation and DepMap essentiality."/>
                    <pic:cNvPicPr>
                      <a:picLocks noChangeAspect="1" noChangeArrowheads="1"/>
                    </pic:cNvPicPr>
                  </pic:nvPicPr>
                  <pic:blipFill>
                    <a:blip r:embed="rId13"/>
                    <a:stretch>
                      <a:fillRect/>
                    </a:stretch>
                  </pic:blipFill>
                  <pic:spPr>
                    <a:xfrm>
                      <a:off x="0" y="0"/>
                      <a:ext cx="5334000" cy="1900546"/>
                    </a:xfrm>
                    <a:prstGeom prst="rect">
                      <a:avLst/>
                    </a:prstGeom>
                    <a:noFill/>
                    <a:ln w="9525">
                      <a:noFill/>
                    </a:ln>
                  </pic:spPr>
                </pic:pic>
              </a:graphicData>
            </a:graphic>
          </wp:inline>
        </w:drawing>
      </w:r>
    </w:p>
    <w:p w14:paraId="1FB4039F">
      <w:pPr>
        <w:pStyle w:val="45"/>
      </w:pPr>
      <w:r>
        <w:rPr>
          <w:rFonts w:ascii="Times New Roman" w:hAnsi="Times New Roman"/>
        </w:rPr>
        <w:t>Figure 3: Known target validation and DepMap essentiality.</w:t>
      </w:r>
    </w:p>
    <w:p w14:paraId="482FB164">
      <w:pPr>
        <w:pStyle w:val="3"/>
      </w:pPr>
      <w:r>
        <w:rPr>
          <w:rFonts w:ascii="Times New Roman" w:hAnsi="Times New Roman"/>
          <w:b/>
          <w:bCs/>
        </w:rPr>
        <w:t>Figure 8. Validation against known nuclear medicine targets.</w:t>
      </w:r>
      <w:r>
        <w:rPr>
          <w:rFonts w:ascii="Times New Roman" w:hAnsi="Times New Roman"/>
        </w:rPr>
        <w:t xml:space="preserve"> (A) Ten known nuclear medicine targets mapped onto the TSI landscape. All ten targets now have AlphaFold structures and pocket residue annotations in the full proteome analysis. (B) Gene essentiality (DepMap Chronos score) versus tumor specificity, colored by LDT score.</w:t>
      </w:r>
    </w:p>
    <w:p w14:paraId="1948863A">
      <w:pPr>
        <w:pStyle w:val="3"/>
      </w:pPr>
      <w:r>
        <w:rPr>
          <w:rFonts w:ascii="Times New Roman" w:hAnsi="Times New Roman"/>
        </w:rPr>
        <w:t>We evaluated 17 established or emerging nuclear medicine targets within our framework. All 17 targets were represented in the full proteome analysis (2,490 proteins), and lysine residues were identified in the largest binding pockets of all ten queried targets with available pocket data. TACSTD2 (Trop-2) ranked 26th in the enhanced composite score (TSI rank 10), MET (c-Met) ranked 9th. FAP, PSMA (FOLH1), and SSTR2 had low pan-cancer TSI values (0.011, 0.012, and −0.002, respectively), consistent with their stromal-restricted (FAP), prostate-specific (PSMA), and neuroendocrine-specific (SSTR2) expression patterns. This demonstrates that LDT-TargetDB correctly identifies clinically validated pan-cancer targets while appropriately assigning tissue-specific targets lower pan-cancer ranks—supporting the utility of cancer-type-specific filtering.</w:t>
      </w:r>
    </w:p>
    <w:bookmarkEnd w:id="3"/>
    <w:bookmarkEnd w:id="7"/>
    <w:p w14:paraId="6981CDE6">
      <w:pPr>
        <w:pStyle w:val="4"/>
      </w:pPr>
      <w:bookmarkStart w:id="8" w:name="web-interface"/>
      <w:r>
        <w:rPr>
          <w:rFonts w:ascii="Times New Roman" w:hAnsi="Times New Roman"/>
        </w:rPr>
        <w:t>WEB INTERFACE</w:t>
      </w:r>
    </w:p>
    <w:p w14:paraId="24496590">
      <w:pPr>
        <w:pStyle w:val="23"/>
      </w:pPr>
      <w:r>
        <w:rPr>
          <w:rFonts w:ascii="Times New Roman" w:hAnsi="Times New Roman"/>
        </w:rPr>
        <w:t>LDT-TargetDB is implemented as a Streamlit web application with an interactive dashboard. The interface provides:</w:t>
      </w:r>
    </w:p>
    <w:p w14:paraId="4568D8D2">
      <w:pPr>
        <w:pStyle w:val="3"/>
      </w:pPr>
      <w:r>
        <w:rPr>
          <w:rFonts w:ascii="Times New Roman" w:hAnsi="Times New Roman"/>
          <w:b/>
          <w:bCs/>
        </w:rPr>
        <w:t>Filters.</w:t>
      </w:r>
      <w:r>
        <w:rPr>
          <w:rFonts w:ascii="Times New Roman" w:hAnsi="Times New Roman"/>
        </w:rPr>
        <w:t xml:space="preserve"> Users can filter targets by composite score threshold, pocket nucleophile type (Lys, Cys, Tyr, Ser), and LDT chemistry compatibility. Real-time updates reflect filter changes across all views.</w:t>
      </w:r>
    </w:p>
    <w:p w14:paraId="0CF00D34">
      <w:pPr>
        <w:pStyle w:val="3"/>
      </w:pPr>
      <w:r>
        <w:rPr>
          <w:rFonts w:ascii="Times New Roman" w:hAnsi="Times New Roman"/>
          <w:b/>
          <w:bCs/>
        </w:rPr>
        <w:t>Ranking Table.</w:t>
      </w:r>
      <w:r>
        <w:rPr>
          <w:rFonts w:ascii="Times New Roman" w:hAnsi="Times New Roman"/>
        </w:rPr>
        <w:t xml:space="preserve"> A sortable, searchable table displays the complete ranked list with scores for TSI, LDT transferability, pocket count, best nucleophile residue, optimal cancer type, DepMap essentiality status, and structure confidence (pLDDT).</w:t>
      </w:r>
    </w:p>
    <w:p w14:paraId="2D4CA4E9">
      <w:pPr>
        <w:pStyle w:val="3"/>
      </w:pPr>
      <w:r>
        <w:rPr>
          <w:rFonts w:ascii="Times New Roman" w:hAnsi="Times New Roman"/>
          <w:b/>
          <w:bCs/>
        </w:rPr>
        <w:t>Visualization.</w:t>
      </w:r>
      <w:r>
        <w:rPr>
          <w:rFonts w:ascii="Times New Roman" w:hAnsi="Times New Roman"/>
        </w:rPr>
        <w:t xml:space="preserve"> Interactive scatter plots (TSI vs. LDT score, colored by nucleophile type), residue-type distribution pie charts, and pLDDT confidence histograms provide rapid overview of the target landscape.</w:t>
      </w:r>
    </w:p>
    <w:p w14:paraId="4C490819">
      <w:pPr>
        <w:pStyle w:val="3"/>
      </w:pPr>
      <w:r>
        <w:rPr>
          <w:rFonts w:ascii="Times New Roman" w:hAnsi="Times New Roman"/>
          <w:b/>
          <w:bCs/>
        </w:rPr>
        <w:t>Target Detail.</w:t>
      </w:r>
      <w:r>
        <w:rPr>
          <w:rFonts w:ascii="Times New Roman" w:hAnsi="Times New Roman"/>
        </w:rPr>
        <w:t xml:space="preserve"> Gene-level detail view displays all scoring dimensions, cancer-type specific expression (top three cancer types with median log2 TPM values), DepMap essentiality classification, and direct links to AlphaFold structure entries.</w:t>
      </w:r>
    </w:p>
    <w:p w14:paraId="50761015">
      <w:pPr>
        <w:pStyle w:val="3"/>
      </w:pPr>
      <w:r>
        <w:rPr>
          <w:rFonts w:ascii="Times New Roman" w:hAnsi="Times New Roman"/>
          <w:b/>
          <w:bCs/>
        </w:rPr>
        <w:t>Data Export.</w:t>
      </w:r>
      <w:r>
        <w:rPr>
          <w:rFonts w:ascii="Times New Roman" w:hAnsi="Times New Roman"/>
        </w:rPr>
        <w:t xml:space="preserve"> Complete filtered results are downloadable as CSV files for offline analysis.</w:t>
      </w:r>
    </w:p>
    <w:bookmarkEnd w:id="8"/>
    <w:p w14:paraId="38D37736">
      <w:pPr>
        <w:pStyle w:val="4"/>
      </w:pPr>
      <w:bookmarkStart w:id="9" w:name="comparison-with-existing-tools"/>
      <w:r>
        <w:rPr>
          <w:rFonts w:ascii="Times New Roman" w:hAnsi="Times New Roman"/>
        </w:rPr>
        <w:t>COMPARISON WITH EXISTING TOOLS</w:t>
      </w:r>
    </w:p>
    <w:p w14:paraId="69BF3BD1">
      <w:pPr>
        <w:pStyle w:val="23"/>
      </w:pPr>
      <w:r>
        <w:rPr>
          <w:rFonts w:ascii="Times New Roman" w:hAnsi="Times New Roman"/>
        </w:rPr>
        <w:t>LDT-TargetDB was systematically compared with three major surface-target databases: ImmunoTar (11), TCSA (12), and DrugMap (13). Twenty features were evaluated across five categories: surface proteomics, expression analysis, structural biology, covalent chemistry, and clinical translation.</w:t>
      </w:r>
    </w:p>
    <w:p w14:paraId="1EC84E0F">
      <w:pPr>
        <w:pStyle w:val="3"/>
      </w:pPr>
      <w:r>
        <w:rPr>
          <w:rFonts w:ascii="Times New Roman" w:hAnsi="Times New Roman"/>
        </w:rPr>
        <w:t>LDT-TargetDB implements 19 of 20 features, substantially exceeding DrugMap (11/20), ImmunoTar (9/20), and TCSA (8/20). The critical differentiators are in the structural biology and covalent chemistry categories: LDT-TargetDB is the only tool offering 3D pocket detection, experimental pKa prediction, solvent accessibility calculation, and multi-chemistry nucleophile scoring (LDT-NASA, SuFEx-CTR, and traditional cysteine-targeted strategies). No existing tool provides radiopharmaceutical-specific target prioritization or covalent chemistry-aware filtering.</w:t>
      </w:r>
    </w:p>
    <w:p w14:paraId="33F40A1A">
      <w:pPr>
        <w:pStyle w:val="47"/>
      </w:pPr>
      <w:r>
        <w:rPr>
          <w:rFonts w:ascii="Times New Roman" w:hAnsi="Times New Roman"/>
        </w:rPr>
        <w:drawing>
          <wp:inline distT="0" distB="0" distL="114300" distR="114300">
            <wp:extent cx="5334000" cy="1875790"/>
            <wp:effectExtent l="0" t="0" r="0" b="0"/>
            <wp:docPr id="42" name="Picture" descr="Figure 8: Tool comparison and multi-dimension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Figure 8: Tool comparison and multi-dimensional validation."/>
                    <pic:cNvPicPr>
                      <a:picLocks noChangeAspect="1" noChangeArrowheads="1"/>
                    </pic:cNvPicPr>
                  </pic:nvPicPr>
                  <pic:blipFill>
                    <a:blip r:embed="rId14"/>
                    <a:stretch>
                      <a:fillRect/>
                    </a:stretch>
                  </pic:blipFill>
                  <pic:spPr>
                    <a:xfrm>
                      <a:off x="0" y="0"/>
                      <a:ext cx="5334000" cy="1876043"/>
                    </a:xfrm>
                    <a:prstGeom prst="rect">
                      <a:avLst/>
                    </a:prstGeom>
                    <a:noFill/>
                    <a:ln w="9525">
                      <a:noFill/>
                    </a:ln>
                  </pic:spPr>
                </pic:pic>
              </a:graphicData>
            </a:graphic>
          </wp:inline>
        </w:drawing>
      </w:r>
    </w:p>
    <w:p w14:paraId="7013491E">
      <w:pPr>
        <w:pStyle w:val="45"/>
      </w:pPr>
      <w:r>
        <w:rPr>
          <w:rFonts w:ascii="Times New Roman" w:hAnsi="Times New Roman"/>
        </w:rPr>
        <w:t>Figure 8: Tool comparison and multi-dimensional validation.</w:t>
      </w:r>
    </w:p>
    <w:p w14:paraId="037D288A">
      <w:pPr>
        <w:pStyle w:val="3"/>
      </w:pPr>
      <w:r>
        <w:rPr>
          <w:rFonts w:ascii="Times New Roman" w:hAnsi="Times New Roman"/>
          <w:b/>
          <w:bCs/>
        </w:rPr>
        <w:t>Figure 9. Feature comparison and validation summary.</w:t>
      </w:r>
      <w:r>
        <w:rPr>
          <w:rFonts w:ascii="Times New Roman" w:hAnsi="Times New Roman"/>
        </w:rPr>
        <w:t xml:space="preserve"> (A) Feature completeness comparison across four databases (LDT-TargetDB: 19/20, DrugMap: 11/20, ImmunoTar: 9/20, TCSA: 8/20). (B) Multi-dimensional validation summary showing the number of qualifying targets across five validation criteria.</w:t>
      </w:r>
    </w:p>
    <w:bookmarkEnd w:id="9"/>
    <w:p w14:paraId="63FE0C23">
      <w:pPr>
        <w:pStyle w:val="4"/>
      </w:pPr>
      <w:bookmarkStart w:id="10" w:name="discussion"/>
      <w:r>
        <w:rPr>
          <w:rFonts w:ascii="Times New Roman" w:hAnsi="Times New Roman"/>
        </w:rPr>
        <w:t>DISCUSSION</w:t>
      </w:r>
    </w:p>
    <w:p w14:paraId="3D3A07D6">
      <w:pPr>
        <w:pStyle w:val="23"/>
      </w:pPr>
      <w:r>
        <w:rPr>
          <w:rFonts w:ascii="Times New Roman" w:hAnsi="Times New Roman"/>
        </w:rPr>
        <w:t>LDT-TargetDB addresses a critical gap in the radiopharmaceutical development pipeline: the systematic computational prioritization of surface protein targets based on covalent chemistry compatibility. By integrating five data layers spanning proteomics, transcriptomics, structural biology, and chemical biology, the database provides a comprehensive framework for LDT radiopharmaceutical target selection.</w:t>
      </w:r>
    </w:p>
    <w:p w14:paraId="38D19E1A">
      <w:pPr>
        <w:pStyle w:val="3"/>
      </w:pPr>
      <w:r>
        <w:rPr>
          <w:rFonts w:ascii="Times New Roman" w:hAnsi="Times New Roman"/>
          <w:b/>
          <w:bCs/>
        </w:rPr>
        <w:t>Biological and Translational Relevance.</w:t>
      </w:r>
      <w:r>
        <w:rPr>
          <w:rFonts w:ascii="Times New Roman" w:hAnsi="Times New Roman"/>
        </w:rPr>
        <w:t xml:space="preserve"> The dominance of lysine in top-ranked pocket residues (93% of top 30 targets) is consistent with the evolutionary prevalence of surface-exposed lysine residues in ligand-binding domains. Several top-ranked targets have established clinical relevance: CLDN4 (rank 8) is a tight junction protein overexpressed in multiple epithelial cancers and is under investigation for CLDN4-targeted antibody-drug conjugates. EPCAM (rank 9) is a validated cancer stem cell marker targeted by multiple immunotherapeutic agents. TACSTD2/Trop-2 (rank 26) is the target of sacituzumab govitecan, an FDA-approved antibody-drug conjugate. The identification of these clinically validated targets within our top ranks supports the biological validity of the LDT-TargetDB scoring framework.</w:t>
      </w:r>
    </w:p>
    <w:p w14:paraId="1B497616">
      <w:pPr>
        <w:pStyle w:val="3"/>
      </w:pPr>
      <w:r>
        <w:rPr>
          <w:rFonts w:ascii="Times New Roman" w:hAnsi="Times New Roman"/>
          <w:b/>
          <w:bCs/>
        </w:rPr>
        <w:t>LDT Chemistry Considerations.</w:t>
      </w:r>
      <w:r>
        <w:rPr>
          <w:rFonts w:ascii="Times New Roman" w:hAnsi="Times New Roman"/>
        </w:rPr>
        <w:t xml:space="preserve"> The NASA/ArNASA chemistry underlying LDT probes presents unique target requirements. The preference for lysine (stable amide linkage) over other nucleophiles (labile ester/thioester linkages) means that target prioritization must consider not just whether a pocket exists, but which specific residues line that pocket. This nuance is captured by our residue-type-weighted scoring. Furthermore, the pH-dependence of nucleophile reactivity—lysine ε-NH₂ is ~99.9% protonated at pH 7.4—necessitates the proximity-driven effective molarity enhancement that is the hallmark of LDT chemistry. Our scoring framework explicitly models this through the pKa reactivity term and the proximity boost factor.</w:t>
      </w:r>
    </w:p>
    <w:p w14:paraId="2CBF1FBC">
      <w:pPr>
        <w:pStyle w:val="3"/>
      </w:pPr>
      <w:r>
        <w:rPr>
          <w:rFonts w:ascii="Times New Roman" w:hAnsi="Times New Roman"/>
          <w:b/>
          <w:bCs/>
        </w:rPr>
        <w:t>Pan-Cancer vs. Cancer-Type-Specific Ranking.</w:t>
      </w:r>
      <w:r>
        <w:rPr>
          <w:rFonts w:ascii="Times New Roman" w:hAnsi="Times New Roman"/>
        </w:rPr>
        <w:t xml:space="preserve"> LDT-TargetDB provides both pan-cancer and cancer-type-specific rankings. The pan-cancer TSI captures broadly expressed tumor targets (e.g., CLDN4, EPCAM, TACSTD2) while appropriately assigning lower ranks to tissue-specific targets (PSMA for prostate, SSTR2 for neuroendocrine). The cancer-type-specific expression module enables users to identify optimal indications for each target. For example, CD24 shows strongest expression in kidney papillary carcinoma (median 10.7 log2 TPM), EPCAM in colorectal cancer (10.0), and MUC1 in lung adenocarcinoma (9.8).</w:t>
      </w:r>
    </w:p>
    <w:p w14:paraId="6AAEFE30">
      <w:pPr>
        <w:pStyle w:val="3"/>
      </w:pPr>
      <w:r>
        <w:rPr>
          <w:rFonts w:ascii="Times New Roman" w:hAnsi="Times New Roman"/>
          <w:b/>
          <w:bCs/>
        </w:rPr>
        <w:t>Multi-Dimensional Validation.</w:t>
      </w:r>
      <w:r>
        <w:rPr>
          <w:rFonts w:ascii="Times New Roman" w:hAnsi="Times New Roman"/>
        </w:rPr>
        <w:t xml:space="preserve"> The comprehensive validation framework confirms that top-ranked targets are (i) non-essential genes (DepMap Chronos scores &gt; −0.5 for 99% of targets), supporting favorable safety profiles; (ii) highly conserved across model organisms (≥5 model organisms for all top 20 targets), indicating functional importance; (iii) associated with cancer in Open Targets (21/30 queried); (iv) mutationally stable across TCGA cohorts (≤32/37 cohorts with any mutations for top targets); and (v) validated at the protein level by HPA immunohistochemistry in normal tissues.</w:t>
      </w:r>
    </w:p>
    <w:p w14:paraId="41FDB5FD">
      <w:pPr>
        <w:pStyle w:val="3"/>
      </w:pPr>
      <w:r>
        <w:rPr>
          <w:rFonts w:ascii="Times New Roman" w:hAnsi="Times New Roman"/>
          <w:b/>
          <w:bCs/>
        </w:rPr>
        <w:t>Limitations.</w:t>
      </w:r>
      <w:r>
        <w:rPr>
          <w:rFonts w:ascii="Times New Roman" w:hAnsi="Times New Roman"/>
        </w:rPr>
        <w:t xml:space="preserve"> Several limitations should be noted. First, LDT scoring relies on empirical weights derived from published NASA chemistry data; experimental validation of top-ranked targets is needed to calibrate the scoring model. Second, AlphaFold-predicted structures may miss cryptic or transient binding pockets accessible only through conformational dynamics. Third, TSI is based on bulk RNA-seq and may not fully capture cell-type-specific expression within the tumor microenvironment. Fourth, the covalent comparison framework uses approximate solvent accessibility values and should be refined with molecular dynamics simulations. Fifth, the database currently covers only human surface proteins with available AlphaFold structures.</w:t>
      </w:r>
    </w:p>
    <w:p w14:paraId="3D6F4E72">
      <w:pPr>
        <w:pStyle w:val="3"/>
      </w:pPr>
      <w:r>
        <w:rPr>
          <w:rFonts w:ascii="Times New Roman" w:hAnsi="Times New Roman"/>
          <w:b/>
          <w:bCs/>
        </w:rPr>
        <w:t>Future Directions.</w:t>
      </w:r>
      <w:r>
        <w:rPr>
          <w:rFonts w:ascii="Times New Roman" w:hAnsi="Times New Roman"/>
        </w:rPr>
        <w:t xml:space="preserve"> Planned enhancements include integration of molecular dynamics simulations for cryptic pocket detection, extension to GPCR-specific covalent probe design, incorporation of clinical trial data for target tractability assessment, and expansion to non-human targets for preclinical development.</w:t>
      </w:r>
    </w:p>
    <w:bookmarkEnd w:id="10"/>
    <w:p w14:paraId="550DD4D1">
      <w:pPr>
        <w:pStyle w:val="4"/>
      </w:pPr>
      <w:bookmarkStart w:id="11" w:name="ethics-statement"/>
      <w:r>
        <w:rPr>
          <w:rFonts w:ascii="Times New Roman" w:hAnsi="Times New Roman"/>
        </w:rPr>
        <w:t>ETHICS STATEMENT</w:t>
      </w:r>
    </w:p>
    <w:p w14:paraId="6A921B4D">
      <w:pPr>
        <w:pStyle w:val="23"/>
      </w:pPr>
      <w:r>
        <w:rPr>
          <w:rFonts w:ascii="Times New Roman" w:hAnsi="Times New Roman"/>
        </w:rPr>
        <w:t>This study exclusively used publicly available, de-identified data from TCGA, GTEx, DepMap, Human Protein Atlas, and other open-access repositories. No human subjects, animal experiments, or primary clinical data were involved. Ethical approval was obtained by the original data generators as described in their respective publications.</w:t>
      </w:r>
    </w:p>
    <w:bookmarkEnd w:id="11"/>
    <w:p w14:paraId="32B549CA">
      <w:pPr>
        <w:pStyle w:val="4"/>
      </w:pPr>
      <w:bookmarkStart w:id="12" w:name="data-availability"/>
      <w:r>
        <w:rPr>
          <w:rFonts w:ascii="Times New Roman" w:hAnsi="Times New Roman"/>
        </w:rPr>
        <w:t>DATA AVAILABILITY</w:t>
      </w:r>
    </w:p>
    <w:p w14:paraId="602AFD81">
      <w:pPr>
        <w:pStyle w:val="23"/>
      </w:pPr>
      <w:r>
        <w:rPr>
          <w:rFonts w:ascii="Times New Roman" w:hAnsi="Times New Roman"/>
        </w:rPr>
        <w:t>LDT-TargetDB is freely accessible at https://ldt-targetdb.streamlit.app. All analysis data are available for download through the web interface. Source code is available at https://github.com/Londger/LDT-TargetDB under the MIT license.</w:t>
      </w:r>
    </w:p>
    <w:bookmarkEnd w:id="12"/>
    <w:p w14:paraId="019708DE">
      <w:pPr>
        <w:pStyle w:val="4"/>
      </w:pPr>
      <w:bookmarkStart w:id="13" w:name="funding"/>
      <w:r>
        <w:rPr>
          <w:rFonts w:ascii="Times New Roman" w:hAnsi="Times New Roman"/>
        </w:rPr>
        <w:t>FUNDING</w:t>
      </w:r>
    </w:p>
    <w:p w14:paraId="3411F4C7">
      <w:pPr>
        <w:pStyle w:val="23"/>
      </w:pPr>
      <w:r>
        <w:rPr>
          <w:rFonts w:ascii="Times New Roman" w:hAnsi="Times New Roman"/>
        </w:rPr>
        <w:t>This work was supported by [FUNDING INFORMATION TO BE ADDED].</w:t>
      </w:r>
    </w:p>
    <w:bookmarkEnd w:id="13"/>
    <w:p w14:paraId="6352E991">
      <w:pPr>
        <w:pStyle w:val="4"/>
      </w:pPr>
      <w:bookmarkStart w:id="14" w:name="conflict-of-interest"/>
      <w:r>
        <w:rPr>
          <w:rFonts w:ascii="Times New Roman" w:hAnsi="Times New Roman"/>
        </w:rPr>
        <w:t>CONFLICT OF INTEREST</w:t>
      </w:r>
    </w:p>
    <w:p w14:paraId="7C5698E9">
      <w:pPr>
        <w:pStyle w:val="23"/>
      </w:pPr>
      <w:r>
        <w:rPr>
          <w:rFonts w:ascii="Times New Roman" w:hAnsi="Times New Roman"/>
        </w:rPr>
        <w:t>None declared.</w:t>
      </w:r>
    </w:p>
    <w:bookmarkEnd w:id="14"/>
    <w:p w14:paraId="03E088BC">
      <w:pPr>
        <w:pStyle w:val="4"/>
      </w:pPr>
      <w:bookmarkStart w:id="15" w:name="acknowledgements"/>
      <w:r>
        <w:rPr>
          <w:rFonts w:ascii="Times New Roman" w:hAnsi="Times New Roman"/>
        </w:rPr>
        <w:t>ACKNOWLEDGEMENTS</w:t>
      </w:r>
    </w:p>
    <w:p w14:paraId="35388FEF">
      <w:pPr>
        <w:pStyle w:val="23"/>
      </w:pPr>
      <w:r>
        <w:rPr>
          <w:rFonts w:ascii="Times New Roman" w:hAnsi="Times New Roman"/>
        </w:rPr>
        <w:t>The authors thank the developers of SURFY, AlphaFold DB, TCGA, GTEx, DepMap, pyKVFinder, PROPKA, FreeSASA, Human Protein Atlas, Open Targets, Ensembl, and FireBrowse for making their data and tools publicly available.</w:t>
      </w:r>
    </w:p>
    <w:bookmarkEnd w:id="15"/>
    <w:p w14:paraId="0EC8A417">
      <w:pPr>
        <w:pStyle w:val="4"/>
      </w:pPr>
      <w:bookmarkStart w:id="16" w:name="references"/>
      <w:r>
        <w:rPr>
          <w:rFonts w:ascii="Times New Roman" w:hAnsi="Times New Roman"/>
        </w:rPr>
        <w:t>REFERENCES</w:t>
      </w:r>
    </w:p>
    <w:p w14:paraId="71D5261A">
      <w:pPr>
        <w:pStyle w:val="24"/>
        <w:numPr>
          <w:ilvl w:val="0"/>
          <w:numId w:val="2"/>
        </w:numPr>
      </w:pPr>
      <w:r>
        <w:rPr>
          <w:rFonts w:ascii="Times New Roman" w:hAnsi="Times New Roman"/>
        </w:rPr>
        <w:t xml:space="preserve">Sartor O, et al. (2021) Lutetium-177–PSMA-617 for Metastatic Castration-Resistant Prostate Cancer. </w:t>
      </w:r>
      <w:r>
        <w:rPr>
          <w:rFonts w:ascii="Times New Roman" w:hAnsi="Times New Roman"/>
          <w:i/>
          <w:iCs/>
        </w:rPr>
        <w:t>N Engl J Med</w:t>
      </w:r>
      <w:r>
        <w:rPr>
          <w:rFonts w:ascii="Times New Roman" w:hAnsi="Times New Roman"/>
        </w:rPr>
        <w:t>, 385:1091–1103.</w:t>
      </w:r>
    </w:p>
    <w:p w14:paraId="5A329BE9">
      <w:pPr>
        <w:pStyle w:val="24"/>
        <w:numPr>
          <w:ilvl w:val="0"/>
          <w:numId w:val="2"/>
        </w:numPr>
      </w:pPr>
      <w:r>
        <w:rPr>
          <w:rFonts w:ascii="Times New Roman" w:hAnsi="Times New Roman"/>
        </w:rPr>
        <w:t xml:space="preserve">Strosberg J, et al. (2017) Phase 3 Trial of ¹⁷⁷Lu-Dotatate for Midgut Neuroendocrine Tumors. </w:t>
      </w:r>
      <w:r>
        <w:rPr>
          <w:rFonts w:ascii="Times New Roman" w:hAnsi="Times New Roman"/>
          <w:i/>
          <w:iCs/>
        </w:rPr>
        <w:t>N Engl J Med</w:t>
      </w:r>
      <w:r>
        <w:rPr>
          <w:rFonts w:ascii="Times New Roman" w:hAnsi="Times New Roman"/>
        </w:rPr>
        <w:t>, 376:125–135.</w:t>
      </w:r>
    </w:p>
    <w:p w14:paraId="347731A9">
      <w:pPr>
        <w:pStyle w:val="24"/>
        <w:numPr>
          <w:ilvl w:val="0"/>
          <w:numId w:val="2"/>
        </w:numPr>
      </w:pPr>
      <w:r>
        <w:rPr>
          <w:rFonts w:ascii="Times New Roman" w:hAnsi="Times New Roman"/>
        </w:rPr>
        <w:t xml:space="preserve">Lapi SE, Scott PJH, Scott AM, et al. (2024) Recent advances and impending challenges for the radiopharmaceutical sciences in oncology. </w:t>
      </w:r>
      <w:r>
        <w:rPr>
          <w:rFonts w:ascii="Times New Roman" w:hAnsi="Times New Roman"/>
          <w:i/>
          <w:iCs/>
        </w:rPr>
        <w:t>Lancet Oncol</w:t>
      </w:r>
      <w:r>
        <w:rPr>
          <w:rFonts w:ascii="Times New Roman" w:hAnsi="Times New Roman"/>
        </w:rPr>
        <w:t>, 25:e236–e249.</w:t>
      </w:r>
    </w:p>
    <w:p w14:paraId="462D2085">
      <w:pPr>
        <w:pStyle w:val="24"/>
        <w:numPr>
          <w:ilvl w:val="0"/>
          <w:numId w:val="2"/>
        </w:numPr>
      </w:pPr>
      <w:r>
        <w:rPr>
          <w:rFonts w:ascii="Times New Roman" w:hAnsi="Times New Roman"/>
        </w:rPr>
        <w:t xml:space="preserve">Jadvar H (2025) Novel Biomarkers in Prostate Cancer Theranostics. </w:t>
      </w:r>
      <w:r>
        <w:rPr>
          <w:rFonts w:ascii="Times New Roman" w:hAnsi="Times New Roman"/>
          <w:i/>
          <w:iCs/>
        </w:rPr>
        <w:t>World J Nucl Med</w:t>
      </w:r>
      <w:r>
        <w:rPr>
          <w:rFonts w:ascii="Times New Roman" w:hAnsi="Times New Roman"/>
        </w:rPr>
        <w:t>, 24:345–358.</w:t>
      </w:r>
    </w:p>
    <w:p w14:paraId="4BEFEB34">
      <w:pPr>
        <w:pStyle w:val="24"/>
        <w:numPr>
          <w:ilvl w:val="0"/>
          <w:numId w:val="2"/>
        </w:numPr>
      </w:pPr>
      <w:r>
        <w:rPr>
          <w:rFonts w:ascii="Times New Roman" w:hAnsi="Times New Roman"/>
        </w:rPr>
        <w:t xml:space="preserve">Liu Z, et al. (2024) Covalent Targeted Radioligands Potentiate Radionuclide Therapy. </w:t>
      </w:r>
      <w:r>
        <w:rPr>
          <w:rFonts w:ascii="Times New Roman" w:hAnsi="Times New Roman"/>
          <w:i/>
          <w:iCs/>
        </w:rPr>
        <w:t>Nature</w:t>
      </w:r>
      <w:r>
        <w:rPr>
          <w:rFonts w:ascii="Times New Roman" w:hAnsi="Times New Roman"/>
        </w:rPr>
        <w:t>, 630:206–213.</w:t>
      </w:r>
    </w:p>
    <w:p w14:paraId="5FCF094D">
      <w:pPr>
        <w:pStyle w:val="24"/>
        <w:numPr>
          <w:ilvl w:val="0"/>
          <w:numId w:val="2"/>
        </w:numPr>
      </w:pPr>
      <w:r>
        <w:rPr>
          <w:rFonts w:ascii="Times New Roman" w:hAnsi="Times New Roman"/>
        </w:rPr>
        <w:t xml:space="preserve">Tamura T, et al. (2018) Rapid labelling and covalent inhibition of intracellular native proteins using ligand-directed N-acyl-N-alkyl sulfonamide. </w:t>
      </w:r>
      <w:r>
        <w:rPr>
          <w:rFonts w:ascii="Times New Roman" w:hAnsi="Times New Roman"/>
          <w:i/>
          <w:iCs/>
        </w:rPr>
        <w:t>Nat Commun</w:t>
      </w:r>
      <w:r>
        <w:rPr>
          <w:rFonts w:ascii="Times New Roman" w:hAnsi="Times New Roman"/>
        </w:rPr>
        <w:t>, 9:1870.</w:t>
      </w:r>
    </w:p>
    <w:p w14:paraId="5B075AE1">
      <w:pPr>
        <w:pStyle w:val="24"/>
        <w:numPr>
          <w:ilvl w:val="0"/>
          <w:numId w:val="2"/>
        </w:numPr>
      </w:pPr>
      <w:r>
        <w:rPr>
          <w:rFonts w:ascii="Times New Roman" w:hAnsi="Times New Roman"/>
        </w:rPr>
        <w:t xml:space="preserve">Kawano M, et al. (2023) Lysine-Reactive N-Acyl-N-aryl Sulfonamide Warheads: Improved Reaction Properties and Application in the Covalent Inhibition of an Ibrutinib-Resistant BTK Mutant. </w:t>
      </w:r>
      <w:r>
        <w:rPr>
          <w:rFonts w:ascii="Times New Roman" w:hAnsi="Times New Roman"/>
          <w:i/>
          <w:iCs/>
        </w:rPr>
        <w:t>J Am Chem Soc</w:t>
      </w:r>
      <w:r>
        <w:rPr>
          <w:rFonts w:ascii="Times New Roman" w:hAnsi="Times New Roman"/>
        </w:rPr>
        <w:t>, 145:26202–26212.</w:t>
      </w:r>
    </w:p>
    <w:p w14:paraId="22628DF9">
      <w:pPr>
        <w:pStyle w:val="24"/>
        <w:numPr>
          <w:ilvl w:val="0"/>
          <w:numId w:val="2"/>
        </w:numPr>
      </w:pPr>
      <w:r>
        <w:rPr>
          <w:rFonts w:ascii="Times New Roman" w:hAnsi="Times New Roman"/>
        </w:rPr>
        <w:t xml:space="preserve">Tamura T &amp; Hamachi I (2024) N-Acyl-N-alkyl/aryl Sulfonamide Chemistry Assisted by Proximity for Modification and Covalent Inhibition of Endogenous Proteins in Living Systems. </w:t>
      </w:r>
      <w:r>
        <w:rPr>
          <w:rFonts w:ascii="Times New Roman" w:hAnsi="Times New Roman"/>
          <w:i/>
          <w:iCs/>
        </w:rPr>
        <w:t>Acc Chem Res</w:t>
      </w:r>
      <w:r>
        <w:rPr>
          <w:rFonts w:ascii="Times New Roman" w:hAnsi="Times New Roman"/>
        </w:rPr>
        <w:t>, 58:87–100.</w:t>
      </w:r>
    </w:p>
    <w:p w14:paraId="7F16E337">
      <w:pPr>
        <w:pStyle w:val="24"/>
        <w:numPr>
          <w:ilvl w:val="0"/>
          <w:numId w:val="2"/>
        </w:numPr>
      </w:pPr>
      <w:r>
        <w:rPr>
          <w:rFonts w:ascii="Times New Roman" w:hAnsi="Times New Roman"/>
        </w:rPr>
        <w:t xml:space="preserve">Thimaradka S, et al. (2021) Site-specific covalent labeling of His-tag fused proteins with N-acyl-N-alkyl sulfonamide reagent. </w:t>
      </w:r>
      <w:r>
        <w:rPr>
          <w:rFonts w:ascii="Times New Roman" w:hAnsi="Times New Roman"/>
          <w:i/>
          <w:iCs/>
        </w:rPr>
        <w:t>Bioorg Med Chem</w:t>
      </w:r>
      <w:r>
        <w:rPr>
          <w:rFonts w:ascii="Times New Roman" w:hAnsi="Times New Roman"/>
        </w:rPr>
        <w:t>, 30:115947.</w:t>
      </w:r>
    </w:p>
    <w:p w14:paraId="7711579E">
      <w:pPr>
        <w:pStyle w:val="24"/>
        <w:numPr>
          <w:ilvl w:val="0"/>
          <w:numId w:val="2"/>
        </w:numPr>
      </w:pPr>
      <w:r>
        <w:rPr>
          <w:rFonts w:ascii="Times New Roman" w:hAnsi="Times New Roman"/>
        </w:rPr>
        <w:t>Tamura T &amp; Hamachi I (2024) Ibid. (comprehensive review of residue reactivity).</w:t>
      </w:r>
    </w:p>
    <w:p w14:paraId="6969769A">
      <w:pPr>
        <w:pStyle w:val="24"/>
        <w:numPr>
          <w:ilvl w:val="0"/>
          <w:numId w:val="2"/>
        </w:numPr>
      </w:pPr>
      <w:r>
        <w:rPr>
          <w:rFonts w:ascii="Times New Roman" w:hAnsi="Times New Roman"/>
        </w:rPr>
        <w:t xml:space="preserve">Shraim R, et al. (2025) ImmunoTar—integrative prioritization of cell surface targets for cancer immunotherapy. </w:t>
      </w:r>
      <w:r>
        <w:rPr>
          <w:rFonts w:ascii="Times New Roman" w:hAnsi="Times New Roman"/>
          <w:i/>
          <w:iCs/>
        </w:rPr>
        <w:t>Bioinformatics</w:t>
      </w:r>
      <w:r>
        <w:rPr>
          <w:rFonts w:ascii="Times New Roman" w:hAnsi="Times New Roman"/>
        </w:rPr>
        <w:t>, 41:btaf060.</w:t>
      </w:r>
    </w:p>
    <w:p w14:paraId="48664E47">
      <w:pPr>
        <w:pStyle w:val="24"/>
        <w:numPr>
          <w:ilvl w:val="0"/>
          <w:numId w:val="2"/>
        </w:numPr>
      </w:pPr>
      <w:r>
        <w:rPr>
          <w:rFonts w:ascii="Times New Roman" w:hAnsi="Times New Roman"/>
        </w:rPr>
        <w:t xml:space="preserve">Hu Z, et al. (2021) The Cancer Surfaceome Atlas integrates genomic, functional and drug response data to identify actionable targets. </w:t>
      </w:r>
      <w:r>
        <w:rPr>
          <w:rFonts w:ascii="Times New Roman" w:hAnsi="Times New Roman"/>
          <w:i/>
          <w:iCs/>
        </w:rPr>
        <w:t>Nat Cancer</w:t>
      </w:r>
      <w:r>
        <w:rPr>
          <w:rFonts w:ascii="Times New Roman" w:hAnsi="Times New Roman"/>
        </w:rPr>
        <w:t>, 2:1406–1422.</w:t>
      </w:r>
    </w:p>
    <w:p w14:paraId="5577B578">
      <w:pPr>
        <w:pStyle w:val="24"/>
        <w:numPr>
          <w:ilvl w:val="0"/>
          <w:numId w:val="2"/>
        </w:numPr>
      </w:pPr>
      <w:r>
        <w:rPr>
          <w:rFonts w:ascii="Times New Roman" w:hAnsi="Times New Roman"/>
        </w:rPr>
        <w:t xml:space="preserve">Takahashi M, et al. (2024) DrugMap: A quantitative pan-cancer analysis of cysteine ligandability. </w:t>
      </w:r>
      <w:r>
        <w:rPr>
          <w:rFonts w:ascii="Times New Roman" w:hAnsi="Times New Roman"/>
          <w:i/>
          <w:iCs/>
        </w:rPr>
        <w:t>Cell</w:t>
      </w:r>
      <w:r>
        <w:rPr>
          <w:rFonts w:ascii="Times New Roman" w:hAnsi="Times New Roman"/>
        </w:rPr>
        <w:t>, 187:2536–2556.</w:t>
      </w:r>
    </w:p>
    <w:p w14:paraId="3E9DB045">
      <w:pPr>
        <w:pStyle w:val="24"/>
        <w:numPr>
          <w:ilvl w:val="0"/>
          <w:numId w:val="2"/>
        </w:numPr>
      </w:pPr>
      <w:r>
        <w:rPr>
          <w:rFonts w:ascii="Times New Roman" w:hAnsi="Times New Roman"/>
        </w:rPr>
        <w:t xml:space="preserve">Bausch-Fluck S, et al. (2018) The in silico human surfaceome. </w:t>
      </w:r>
      <w:r>
        <w:rPr>
          <w:rFonts w:ascii="Times New Roman" w:hAnsi="Times New Roman"/>
          <w:i/>
          <w:iCs/>
        </w:rPr>
        <w:t>Proc Natl Acad Sci USA</w:t>
      </w:r>
      <w:r>
        <w:rPr>
          <w:rFonts w:ascii="Times New Roman" w:hAnsi="Times New Roman"/>
        </w:rPr>
        <w:t>, 115:E10988–E10997.</w:t>
      </w:r>
    </w:p>
    <w:p w14:paraId="2E86F98D">
      <w:pPr>
        <w:pStyle w:val="24"/>
        <w:numPr>
          <w:ilvl w:val="0"/>
          <w:numId w:val="2"/>
        </w:numPr>
      </w:pPr>
      <w:r>
        <w:rPr>
          <w:rFonts w:ascii="Times New Roman" w:hAnsi="Times New Roman"/>
        </w:rPr>
        <w:t xml:space="preserve">Olsson MHM, et al. (2011) PROPKA3: Consistent Treatment of Internal and Surface Residues in Empirical pKa Predictions. </w:t>
      </w:r>
      <w:r>
        <w:rPr>
          <w:rFonts w:ascii="Times New Roman" w:hAnsi="Times New Roman"/>
          <w:i/>
          <w:iCs/>
        </w:rPr>
        <w:t>J Chem Theory Comput</w:t>
      </w:r>
      <w:r>
        <w:rPr>
          <w:rFonts w:ascii="Times New Roman" w:hAnsi="Times New Roman"/>
        </w:rPr>
        <w:t>, 7:525–537.</w:t>
      </w:r>
    </w:p>
    <w:p w14:paraId="7A15D890">
      <w:pPr>
        <w:pStyle w:val="24"/>
        <w:numPr>
          <w:ilvl w:val="0"/>
          <w:numId w:val="2"/>
        </w:numPr>
      </w:pPr>
      <w:r>
        <w:rPr>
          <w:rFonts w:ascii="Times New Roman" w:hAnsi="Times New Roman"/>
        </w:rPr>
        <w:t xml:space="preserve">Mitternacht S (2016) FreeSASA: An open source C library for solvent accessible surface area calculations. </w:t>
      </w:r>
      <w:r>
        <w:rPr>
          <w:rFonts w:ascii="Times New Roman" w:hAnsi="Times New Roman"/>
          <w:i/>
          <w:iCs/>
        </w:rPr>
        <w:t>F1000Research</w:t>
      </w:r>
      <w:r>
        <w:rPr>
          <w:rFonts w:ascii="Times New Roman" w:hAnsi="Times New Roman"/>
        </w:rPr>
        <w:t>, 5:189.</w:t>
      </w:r>
    </w:p>
    <w:p w14:paraId="0435D40E">
      <w:pPr>
        <w:pStyle w:val="24"/>
        <w:numPr>
          <w:ilvl w:val="0"/>
          <w:numId w:val="2"/>
        </w:numPr>
      </w:pPr>
      <w:r>
        <w:rPr>
          <w:rFonts w:ascii="Times New Roman" w:hAnsi="Times New Roman"/>
        </w:rPr>
        <w:t xml:space="preserve">Jumper J, et al. (2021) Highly accurate protein structure prediction with AlphaFold. </w:t>
      </w:r>
      <w:r>
        <w:rPr>
          <w:rFonts w:ascii="Times New Roman" w:hAnsi="Times New Roman"/>
          <w:i/>
          <w:iCs/>
        </w:rPr>
        <w:t>Nature</w:t>
      </w:r>
      <w:r>
        <w:rPr>
          <w:rFonts w:ascii="Times New Roman" w:hAnsi="Times New Roman"/>
        </w:rPr>
        <w:t>, 596:583–589.</w:t>
      </w:r>
    </w:p>
    <w:p w14:paraId="5CF8B84C">
      <w:pPr>
        <w:pStyle w:val="24"/>
        <w:numPr>
          <w:ilvl w:val="0"/>
          <w:numId w:val="2"/>
        </w:numPr>
      </w:pPr>
      <w:r>
        <w:rPr>
          <w:rFonts w:ascii="Times New Roman" w:hAnsi="Times New Roman"/>
        </w:rPr>
        <w:t xml:space="preserve">Varadi M, et al. (2024) AlphaFold Protein Structure Database in 2024: providing structure coverage for over 214 million protein sequences. </w:t>
      </w:r>
      <w:r>
        <w:rPr>
          <w:rFonts w:ascii="Times New Roman" w:hAnsi="Times New Roman"/>
          <w:i/>
          <w:iCs/>
        </w:rPr>
        <w:t>Nucleic Acids Res</w:t>
      </w:r>
      <w:r>
        <w:rPr>
          <w:rFonts w:ascii="Times New Roman" w:hAnsi="Times New Roman"/>
        </w:rPr>
        <w:t>, 52:D368–D375.</w:t>
      </w:r>
    </w:p>
    <w:p w14:paraId="22533D1C">
      <w:pPr>
        <w:pStyle w:val="24"/>
        <w:numPr>
          <w:ilvl w:val="0"/>
          <w:numId w:val="2"/>
        </w:numPr>
      </w:pPr>
      <w:r>
        <w:rPr>
          <w:rFonts w:ascii="Times New Roman" w:hAnsi="Times New Roman"/>
        </w:rPr>
        <w:t xml:space="preserve">Le Guilloux V, et al. (2009) Fpocket: An open source platform for ligand pocket detection. </w:t>
      </w:r>
      <w:r>
        <w:rPr>
          <w:rFonts w:ascii="Times New Roman" w:hAnsi="Times New Roman"/>
          <w:i/>
          <w:iCs/>
        </w:rPr>
        <w:t>BMC Bioinformatics</w:t>
      </w:r>
      <w:r>
        <w:rPr>
          <w:rFonts w:ascii="Times New Roman" w:hAnsi="Times New Roman"/>
        </w:rPr>
        <w:t>, 10:168.</w:t>
      </w:r>
    </w:p>
    <w:p w14:paraId="38503BB0">
      <w:pPr>
        <w:pStyle w:val="24"/>
        <w:numPr>
          <w:ilvl w:val="0"/>
          <w:numId w:val="2"/>
        </w:numPr>
      </w:pPr>
      <w:r>
        <w:rPr>
          <w:rFonts w:ascii="Times New Roman" w:hAnsi="Times New Roman"/>
        </w:rPr>
        <w:t xml:space="preserve">Guerra JVS, et al. (2023) pyKVFinder: an efficient and integrable Python package for biomolecular cavity detection and characterization. </w:t>
      </w:r>
      <w:r>
        <w:rPr>
          <w:rFonts w:ascii="Times New Roman" w:hAnsi="Times New Roman"/>
          <w:i/>
          <w:iCs/>
        </w:rPr>
        <w:t>BMC Bioinformatics</w:t>
      </w:r>
      <w:r>
        <w:rPr>
          <w:rFonts w:ascii="Times New Roman" w:hAnsi="Times New Roman"/>
        </w:rPr>
        <w:t>, 24:415.</w:t>
      </w:r>
    </w:p>
    <w:p w14:paraId="68F3226C">
      <w:pPr>
        <w:pStyle w:val="24"/>
        <w:numPr>
          <w:ilvl w:val="0"/>
          <w:numId w:val="2"/>
        </w:numPr>
      </w:pPr>
      <w:r>
        <w:rPr>
          <w:rFonts w:ascii="Times New Roman" w:hAnsi="Times New Roman"/>
        </w:rPr>
        <w:t xml:space="preserve">Han Y, et al. (2023) TISCH2: expanded datasets and new tools for single-cell transcriptome analyses of the tumor microenvironment. </w:t>
      </w:r>
      <w:r>
        <w:rPr>
          <w:rFonts w:ascii="Times New Roman" w:hAnsi="Times New Roman"/>
          <w:i/>
          <w:iCs/>
        </w:rPr>
        <w:t>Nucleic Acids Res</w:t>
      </w:r>
      <w:r>
        <w:rPr>
          <w:rFonts w:ascii="Times New Roman" w:hAnsi="Times New Roman"/>
        </w:rPr>
        <w:t>, 51:D1425–D1431.</w:t>
      </w:r>
    </w:p>
    <w:p w14:paraId="6F8A4429">
      <w:pPr>
        <w:pStyle w:val="24"/>
        <w:numPr>
          <w:ilvl w:val="0"/>
          <w:numId w:val="2"/>
        </w:numPr>
      </w:pPr>
      <w:r>
        <w:rPr>
          <w:rFonts w:ascii="Times New Roman" w:hAnsi="Times New Roman"/>
        </w:rPr>
        <w:t xml:space="preserve">Bausch-Fluck S, et al. (2015) A mass spectrometric-derived cell surface protein atlas. </w:t>
      </w:r>
      <w:r>
        <w:rPr>
          <w:rFonts w:ascii="Times New Roman" w:hAnsi="Times New Roman"/>
          <w:i/>
          <w:iCs/>
        </w:rPr>
        <w:t>PLoS ONE</w:t>
      </w:r>
      <w:r>
        <w:rPr>
          <w:rFonts w:ascii="Times New Roman" w:hAnsi="Times New Roman"/>
        </w:rPr>
        <w:t>, 10:e0121314.</w:t>
      </w:r>
    </w:p>
    <w:p w14:paraId="50FD30FA">
      <w:pPr>
        <w:pStyle w:val="24"/>
        <w:numPr>
          <w:ilvl w:val="0"/>
          <w:numId w:val="2"/>
        </w:numPr>
      </w:pPr>
      <w:r>
        <w:rPr>
          <w:rFonts w:ascii="Times New Roman" w:hAnsi="Times New Roman"/>
        </w:rPr>
        <w:t xml:space="preserve">Tsherniak A, et al. (2017) Defining a cancer dependency map. </w:t>
      </w:r>
      <w:r>
        <w:rPr>
          <w:rFonts w:ascii="Times New Roman" w:hAnsi="Times New Roman"/>
          <w:i/>
          <w:iCs/>
        </w:rPr>
        <w:t>Cell</w:t>
      </w:r>
      <w:r>
        <w:rPr>
          <w:rFonts w:ascii="Times New Roman" w:hAnsi="Times New Roman"/>
        </w:rPr>
        <w:t>, 170:564–576.</w:t>
      </w:r>
    </w:p>
    <w:p w14:paraId="5CF5DD92">
      <w:pPr>
        <w:pStyle w:val="24"/>
        <w:numPr>
          <w:ilvl w:val="0"/>
          <w:numId w:val="2"/>
        </w:numPr>
      </w:pPr>
      <w:r>
        <w:rPr>
          <w:rFonts w:ascii="Times New Roman" w:hAnsi="Times New Roman"/>
        </w:rPr>
        <w:t xml:space="preserve">Meyers RM, et al. (2017) Computational correction of copy number effect improves specificity of CRISPR-Cas9 essentiality screens in cancer cells. </w:t>
      </w:r>
      <w:r>
        <w:rPr>
          <w:rFonts w:ascii="Times New Roman" w:hAnsi="Times New Roman"/>
          <w:i/>
          <w:iCs/>
        </w:rPr>
        <w:t>Nat Genet</w:t>
      </w:r>
      <w:r>
        <w:rPr>
          <w:rFonts w:ascii="Times New Roman" w:hAnsi="Times New Roman"/>
        </w:rPr>
        <w:t>, 49:1779–1784.</w:t>
      </w:r>
    </w:p>
    <w:p w14:paraId="65BAC4B1">
      <w:pPr>
        <w:pStyle w:val="24"/>
        <w:numPr>
          <w:ilvl w:val="0"/>
          <w:numId w:val="2"/>
        </w:numPr>
      </w:pPr>
      <w:r>
        <w:rPr>
          <w:rFonts w:ascii="Times New Roman" w:hAnsi="Times New Roman"/>
        </w:rPr>
        <w:t xml:space="preserve">Dempster JM, et al. (2021) Chronos: a cell population dynamics model of CRISPR experiments that improves inference of gene fitness effects. </w:t>
      </w:r>
      <w:r>
        <w:rPr>
          <w:rFonts w:ascii="Times New Roman" w:hAnsi="Times New Roman"/>
          <w:i/>
          <w:iCs/>
        </w:rPr>
        <w:t>Genome Biol</w:t>
      </w:r>
      <w:r>
        <w:rPr>
          <w:rFonts w:ascii="Times New Roman" w:hAnsi="Times New Roman"/>
        </w:rPr>
        <w:t>, 22:343.</w:t>
      </w:r>
    </w:p>
    <w:p w14:paraId="6311809C">
      <w:pPr>
        <w:pStyle w:val="24"/>
        <w:numPr>
          <w:ilvl w:val="0"/>
          <w:numId w:val="2"/>
        </w:numPr>
      </w:pPr>
      <w:r>
        <w:rPr>
          <w:rFonts w:ascii="Times New Roman" w:hAnsi="Times New Roman"/>
        </w:rPr>
        <w:t xml:space="preserve">Uhlen M, et al. (2015) Tissue-based map of the human proteome. </w:t>
      </w:r>
      <w:r>
        <w:rPr>
          <w:rFonts w:ascii="Times New Roman" w:hAnsi="Times New Roman"/>
          <w:i/>
          <w:iCs/>
        </w:rPr>
        <w:t>Science</w:t>
      </w:r>
      <w:r>
        <w:rPr>
          <w:rFonts w:ascii="Times New Roman" w:hAnsi="Times New Roman"/>
        </w:rPr>
        <w:t>, 347:1260419.</w:t>
      </w:r>
    </w:p>
    <w:p w14:paraId="02A91E83">
      <w:pPr>
        <w:pStyle w:val="24"/>
        <w:numPr>
          <w:ilvl w:val="0"/>
          <w:numId w:val="2"/>
        </w:numPr>
      </w:pPr>
      <w:r>
        <w:rPr>
          <w:rFonts w:ascii="Times New Roman" w:hAnsi="Times New Roman"/>
        </w:rPr>
        <w:t xml:space="preserve">Uhlen M, et al. (2017) A pathology atlas of the human cancer transcriptome. </w:t>
      </w:r>
      <w:r>
        <w:rPr>
          <w:rFonts w:ascii="Times New Roman" w:hAnsi="Times New Roman"/>
          <w:i/>
          <w:iCs/>
        </w:rPr>
        <w:t>Science</w:t>
      </w:r>
      <w:r>
        <w:rPr>
          <w:rFonts w:ascii="Times New Roman" w:hAnsi="Times New Roman"/>
        </w:rPr>
        <w:t>, 357:eaan2507.</w:t>
      </w:r>
    </w:p>
    <w:p w14:paraId="5783CCAA">
      <w:pPr>
        <w:pStyle w:val="24"/>
        <w:numPr>
          <w:ilvl w:val="0"/>
          <w:numId w:val="2"/>
        </w:numPr>
      </w:pPr>
      <w:r>
        <w:rPr>
          <w:rFonts w:ascii="Times New Roman" w:hAnsi="Times New Roman"/>
        </w:rPr>
        <w:t xml:space="preserve">Ochoa D, et al. (2023) The next-generation Open Targets Platform: reimagined, redesigned, rebuilding. </w:t>
      </w:r>
      <w:r>
        <w:rPr>
          <w:rFonts w:ascii="Times New Roman" w:hAnsi="Times New Roman"/>
          <w:i/>
          <w:iCs/>
        </w:rPr>
        <w:t>Nucleic Acids Res</w:t>
      </w:r>
      <w:r>
        <w:rPr>
          <w:rFonts w:ascii="Times New Roman" w:hAnsi="Times New Roman"/>
        </w:rPr>
        <w:t>, 51:D1353–D1359.</w:t>
      </w:r>
    </w:p>
    <w:p w14:paraId="33A54912">
      <w:pPr>
        <w:pStyle w:val="24"/>
        <w:numPr>
          <w:ilvl w:val="0"/>
          <w:numId w:val="2"/>
        </w:numPr>
      </w:pPr>
      <w:r>
        <w:rPr>
          <w:rFonts w:ascii="Times New Roman" w:hAnsi="Times New Roman"/>
        </w:rPr>
        <w:t xml:space="preserve">Herrero J, et al. (2016) Ensembl comparative genomics resources. </w:t>
      </w:r>
      <w:r>
        <w:rPr>
          <w:rFonts w:ascii="Times New Roman" w:hAnsi="Times New Roman"/>
          <w:i/>
          <w:iCs/>
        </w:rPr>
        <w:t>Database</w:t>
      </w:r>
      <w:r>
        <w:rPr>
          <w:rFonts w:ascii="Times New Roman" w:hAnsi="Times New Roman"/>
        </w:rPr>
        <w:t>, 2016:bav096.</w:t>
      </w:r>
    </w:p>
    <w:p w14:paraId="588585A1">
      <w:pPr>
        <w:pStyle w:val="24"/>
        <w:numPr>
          <w:ilvl w:val="0"/>
          <w:numId w:val="2"/>
        </w:numPr>
      </w:pPr>
      <w:r>
        <w:rPr>
          <w:rFonts w:ascii="Times New Roman" w:hAnsi="Times New Roman"/>
        </w:rPr>
        <w:t xml:space="preserve">Cerami E, et al. (2012) The cBio Cancer Genomics Portal: an open platform for exploring multidimensional cancer genomics data. </w:t>
      </w:r>
      <w:r>
        <w:rPr>
          <w:rFonts w:ascii="Times New Roman" w:hAnsi="Times New Roman"/>
          <w:i/>
          <w:iCs/>
        </w:rPr>
        <w:t>Cancer Discov</w:t>
      </w:r>
      <w:r>
        <w:rPr>
          <w:rFonts w:ascii="Times New Roman" w:hAnsi="Times New Roman"/>
        </w:rPr>
        <w:t>, 2:401–404.</w:t>
      </w:r>
    </w:p>
    <w:p w14:paraId="1CA717D7">
      <w:pPr>
        <w:pStyle w:val="24"/>
        <w:numPr>
          <w:ilvl w:val="0"/>
          <w:numId w:val="2"/>
        </w:numPr>
      </w:pPr>
      <w:r>
        <w:rPr>
          <w:rFonts w:ascii="Times New Roman" w:hAnsi="Times New Roman"/>
        </w:rPr>
        <w:t xml:space="preserve">Gao J, et al. (2013) Integrative analysis of complex cancer genomics and clinical profiles using the cBioPortal. </w:t>
      </w:r>
      <w:r>
        <w:rPr>
          <w:rFonts w:ascii="Times New Roman" w:hAnsi="Times New Roman"/>
          <w:i/>
          <w:iCs/>
        </w:rPr>
        <w:t>Sci Signal</w:t>
      </w:r>
      <w:r>
        <w:rPr>
          <w:rFonts w:ascii="Times New Roman" w:hAnsi="Times New Roman"/>
        </w:rPr>
        <w:t>, 6:pl1.</w:t>
      </w:r>
    </w:p>
    <w:p w14:paraId="6E8DB83A">
      <w:pPr>
        <w:pStyle w:val="24"/>
        <w:numPr>
          <w:ilvl w:val="0"/>
          <w:numId w:val="2"/>
        </w:numPr>
      </w:pPr>
      <w:r>
        <w:rPr>
          <w:rFonts w:ascii="Times New Roman" w:hAnsi="Times New Roman"/>
        </w:rPr>
        <w:t xml:space="preserve">Szklarczyk D, et al. (2023) The STRING database in 2023: protein–protein association networks and functional enrichment analyses. </w:t>
      </w:r>
      <w:r>
        <w:rPr>
          <w:rFonts w:ascii="Times New Roman" w:hAnsi="Times New Roman"/>
          <w:i/>
          <w:iCs/>
        </w:rPr>
        <w:t>Nucleic Acids Res</w:t>
      </w:r>
      <w:r>
        <w:rPr>
          <w:rFonts w:ascii="Times New Roman" w:hAnsi="Times New Roman"/>
        </w:rPr>
        <w:t>, 51:D638–D646.</w:t>
      </w:r>
    </w:p>
    <w:p w14:paraId="310FD30C">
      <w:pPr>
        <w:pStyle w:val="24"/>
        <w:numPr>
          <w:ilvl w:val="0"/>
          <w:numId w:val="2"/>
        </w:numPr>
      </w:pPr>
      <w:r>
        <w:rPr>
          <w:rFonts w:ascii="Times New Roman" w:hAnsi="Times New Roman"/>
        </w:rPr>
        <w:t xml:space="preserve">Ghandi M, et al. (2019) Next-generation characterization of the Cancer Cell Line Encyclopedia. </w:t>
      </w:r>
      <w:r>
        <w:rPr>
          <w:rFonts w:ascii="Times New Roman" w:hAnsi="Times New Roman"/>
          <w:i/>
          <w:iCs/>
        </w:rPr>
        <w:t>Nature</w:t>
      </w:r>
      <w:r>
        <w:rPr>
          <w:rFonts w:ascii="Times New Roman" w:hAnsi="Times New Roman"/>
        </w:rPr>
        <w:t>, 569:503–508.</w:t>
      </w:r>
    </w:p>
    <w:p w14:paraId="108FA33B">
      <w:pPr>
        <w:pStyle w:val="24"/>
        <w:numPr>
          <w:ilvl w:val="0"/>
          <w:numId w:val="2"/>
        </w:numPr>
      </w:pPr>
      <w:r>
        <w:rPr>
          <w:rFonts w:ascii="Times New Roman" w:hAnsi="Times New Roman"/>
        </w:rPr>
        <w:t xml:space="preserve">Kratochwil C, et al. (2019) ²²⁵Ac-PSMA-617 for PSMA-targeted α-radiation therapy of metastatic castration-resistant prostate cancer. </w:t>
      </w:r>
      <w:r>
        <w:rPr>
          <w:rFonts w:ascii="Times New Roman" w:hAnsi="Times New Roman"/>
          <w:i/>
          <w:iCs/>
        </w:rPr>
        <w:t>J Nucl Med</w:t>
      </w:r>
      <w:r>
        <w:rPr>
          <w:rFonts w:ascii="Times New Roman" w:hAnsi="Times New Roman"/>
        </w:rPr>
        <w:t>, 57:1941–1944.</w:t>
      </w:r>
    </w:p>
    <w:p w14:paraId="1F4C85A9">
      <w:pPr>
        <w:pStyle w:val="24"/>
        <w:numPr>
          <w:ilvl w:val="0"/>
          <w:numId w:val="2"/>
        </w:numPr>
      </w:pPr>
      <w:r>
        <w:rPr>
          <w:rFonts w:ascii="Times New Roman" w:hAnsi="Times New Roman"/>
        </w:rPr>
        <w:t xml:space="preserve">Loktev A, et al. (2018) A tumor-imaging method targeting cancer-associated fibroblasts. </w:t>
      </w:r>
      <w:r>
        <w:rPr>
          <w:rFonts w:ascii="Times New Roman" w:hAnsi="Times New Roman"/>
          <w:i/>
          <w:iCs/>
        </w:rPr>
        <w:t>J Nucl Med</w:t>
      </w:r>
      <w:r>
        <w:rPr>
          <w:rFonts w:ascii="Times New Roman" w:hAnsi="Times New Roman"/>
        </w:rPr>
        <w:t>, 59:1423–1429.</w:t>
      </w:r>
    </w:p>
    <w:bookmarkEnd w:id="0"/>
    <w:bookmarkEnd w:id="16"/>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61082A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2"/>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3479</Words>
  <Characters>22713</Characters>
  <Lines>12</Lines>
  <Paragraphs>8</Paragraphs>
  <TotalTime>8</TotalTime>
  <ScaleCrop>false</ScaleCrop>
  <LinksUpToDate>false</LinksUpToDate>
  <CharactersWithSpaces>25949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2026-05-13T09:40:00Z</dcterms:created>
  <dc:creator>jsnn</dc:creator>
  <cp:lastModifiedBy>jsnn</cp:lastModifiedBy>
  <dcterms:modified xsi:type="dcterms:W3CDTF">2026-05-13T10:17:22Z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eyJoZGlkIjoiODIyNTU2ZGJmMzRmZTU1YzAxODEzMzcyODgxNzIxNWIiLCJ1c2VySWQiOiI4ODc5OTM5MzcifQ==</vt:lpwstr>
  </property>
  <property fmtid="{D5CDD505-2E9C-101B-9397-08002B2CF9AE}" pid="3" name="KSOProductBuildVer">
    <vt:lpwstr>2052-12.1.0.25865</vt:lpwstr>
  </property>
  <property fmtid="{D5CDD505-2E9C-101B-9397-08002B2CF9AE}" pid="4" name="ICV">
    <vt:lpwstr>42DDBCA319B442F5A7047FFCF3266029_12</vt:lpwstr>
  </property>
</Properties>
</file>