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bb36fcce3dc6ce754719fce7e4423754fb5efb"/>
    <w:p>
      <w:pPr>
        <w:pStyle w:val="Heading1"/>
      </w:pPr>
      <w:r>
        <w:rPr>
          <w:rFonts w:ascii="Times New Roman" w:hAnsi="Times New Roman"/>
        </w:rPr>
        <w:t xml:space="preserve">LDT-TargetDB: Systematic Prioritization of Extracellular Surface Targets for Covalent Radiopharmaceutical Development</w:t>
      </w:r>
    </w:p>
    <w:p>
      <w:pPr>
        <w:pStyle w:val="FirstParagraph"/>
      </w:pPr>
      <w:r>
        <w:rPr>
          <w:rFonts w:ascii="Times New Roman" w:hAnsi="Times New Roman"/>
        </w:rPr>
        <w:t xml:space="preserve">Xinglong Zhou</w:t>
      </w:r>
      <w:r>
        <w:rPr>
          <w:rFonts w:ascii="Times New Roman" w:hAnsi="Times New Roman"/>
        </w:rPr>
        <w:t xml:space="preserve">1</w:t>
      </w:r>
      <w:r>
        <w:rPr>
          <w:rFonts w:ascii="Times New Roman" w:hAnsi="Times New Roman"/>
        </w:rPr>
        <w:t xml:space="preserve">, Wenbin Hou</w:t>
      </w:r>
      <w:r>
        <w:rPr>
          <w:rFonts w:ascii="Times New Roman" w:hAnsi="Times New Roman"/>
        </w:rPr>
        <w:t xml:space="preserve">1</w:t>
      </w:r>
      <w:r>
        <w:rPr>
          <w:rFonts w:ascii="Times New Roman" w:hAnsi="Times New Roman"/>
        </w:rPr>
        <w:t xml:space="preserve">, Yiliang Li</w:t>
      </w:r>
      <w:r>
        <w:rPr>
          <w:rFonts w:ascii="Times New Roman" w:hAnsi="Times New Roman"/>
        </w:rPr>
        <w:t xml:space="preserve">1,*</w:t>
      </w:r>
    </w:p>
    <w:p>
      <w:pPr>
        <w:pStyle w:val="BodyText"/>
      </w:pPr>
      <w:r>
        <w:rPr>
          <w:rFonts w:ascii="Times New Roman" w:hAnsi="Times New Roman"/>
        </w:rPr>
        <w:t xml:space="preserve">1</w:t>
      </w:r>
      <w:r>
        <w:rPr>
          <w:rFonts w:ascii="Times New Roman" w:hAnsi="Times New Roman"/>
        </w:rPr>
        <w:t xml:space="preserve">Institute of Radiation Medicine, Chinese Academy of Medical Sciences &amp; Peking Union Medical College, Tianjin 300192, China</w:t>
      </w:r>
    </w:p>
    <w:p>
      <w:pPr>
        <w:pStyle w:val="BodyText"/>
      </w:pPr>
      <w:r>
        <w:rPr>
          <w:rFonts w:ascii="Times New Roman" w:hAnsi="Times New Roman"/>
        </w:rPr>
        <w:t xml:space="preserve">*</w:t>
      </w:r>
      <w:r>
        <w:rPr>
          <w:rFonts w:ascii="Times New Roman" w:hAnsi="Times New Roman"/>
        </w:rPr>
        <w:t xml:space="preserve">To whom correspondence should be addressed. Email: liyiliang@irm-cams.ac.cn; Correspondence may also be addressed to Xinglong Zhou, Email: zhouxinglong@irm-cams.ac.cn</w:t>
      </w:r>
    </w:p>
    <w:p>
      <w:pPr>
        <w:pStyle w:val="BodyText"/>
      </w:pPr>
      <w:r>
        <w:rPr>
          <w:rFonts w:ascii="Times New Roman" w:hAnsi="Times New Roman"/>
          <w:b/>
          <w:bCs/>
        </w:rPr>
        <w:t xml:space="preserve">Keywords:</w:t>
      </w:r>
      <w:r>
        <w:rPr>
          <w:rFonts w:ascii="Times New Roman" w:hAnsi="Times New Roman"/>
        </w:rPr>
        <w:t xml:space="preserve"> </w:t>
      </w:r>
      <w:r>
        <w:rPr>
          <w:rFonts w:ascii="Times New Roman" w:hAnsi="Times New Roman"/>
        </w:rPr>
        <w:t xml:space="preserve">covalent radiopharmaceutical, ligand-directed transfer, surfaceome, target prioritization, structural chemoproteomics</w:t>
      </w:r>
    </w:p>
    <w:bookmarkStart w:id="9" w:name="abstract"/>
    <w:p>
      <w:pPr>
        <w:pStyle w:val="Heading2"/>
      </w:pPr>
      <w:r>
        <w:rPr>
          <w:rFonts w:ascii="Times New Roman" w:hAnsi="Times New Roman"/>
        </w:rPr>
        <w:t xml:space="preserve">ABSTRACT</w:t>
      </w:r>
    </w:p>
    <w:p>
      <w:pPr>
        <w:pStyle w:val="FirstParagraph"/>
      </w:pPr>
      <w:r>
        <w:rPr>
          <w:rFonts w:ascii="Times New Roman" w:hAnsi="Times New Roman"/>
        </w:rPr>
        <w:t xml:space="preserve">LDT-TargetDB (https://ldt-targetdb.streamlit.app) is a computational framework for systematic identification and prioritization of extracellular surface protein targets amenable to covalent radiopharmaceutical development using ligand-directed transfer (LDT) chemistry. This framework integrates five data layers—surface proteome annotation (SURFY, 2,799 proteins), pan-cancer expression profiling (TCGA 32 cancer types, GTEx 30 tissues), extracellular accessibility filtering (UniProt topology), 3D structural pocket analysis (AlphaFold + pyKVFinder), and covalent chemistry scoring (empirical pKa prediction via PROPKA, solvent accessibility via FreeSASA)—to systematically rank 2,473 surface proteins. We benchmarked the framework against 17 known nuclear medicine targets, demonstrating that integrating structural covariates with expression data achieves 7.14-fold enrichment of known targets in the top 1% of predictions. Multi-dimensional validation—including normal tissue risk scoring (HPA IHC across critical organs), DepMap essentiality analysis, Open Targets disease associations, cross-species conservation, TCGA mutation stability, and binder tractability assessment—confirmed the biological and translational relevance of top-ranked targets. The top five prioritized targets include MUC1, ILDR1, LY75, ABCC4, and CDH1, all with confirmed extracellular pocket accessibility. An interactive web interface provides real-time filtering, cancer-type-specific ranking across 32 cancer types, and downloadable results. LDT-TargetDB fills a critical gap at the interface of chemical biology, structural bioinformatics, and nuclear medicine by providing the first systematic framework for covalent radiopharmaceutical target prioritization.</w:t>
      </w:r>
    </w:p>
    <w:bookmarkEnd w:id="9"/>
    <w:bookmarkStart w:id="16" w:name="introduction"/>
    <w:p>
      <w:pPr>
        <w:pStyle w:val="Heading2"/>
      </w:pPr>
      <w:r>
        <w:rPr>
          <w:rFonts w:ascii="Times New Roman" w:hAnsi="Times New Roman"/>
        </w:rPr>
        <w:t xml:space="preserve">INTRODUCTION</w:t>
      </w:r>
    </w:p>
    <w:p>
      <w:pPr>
        <w:pStyle w:val="FirstParagraph"/>
      </w:pPr>
      <w:r>
        <w:rPr>
          <w:rFonts w:ascii="Times New Roman" w:hAnsi="Times New Roman"/>
        </w:rPr>
        <w:t xml:space="preserve">Radioligand therapy (RLT) has transformed oncology, with [¹⁷⁷Lu]Lu-PSMA-617 and [¹⁷⁷Lu]Lu-DOTATATE demonstrating remarkable clinical efficacy [1,2,34]. Despite this success, only a handful of surface targets are clinically exploited—primarily PSMA, SSTR2, and FAP [4,35]—creating a critical bottleneck for expanding RLT to additional cancer types.</w:t>
      </w:r>
    </w:p>
    <w:p>
      <w:pPr>
        <w:pStyle w:val="BodyText"/>
      </w:pPr>
      <w:r>
        <w:rPr>
          <w:rFonts w:ascii="Times New Roman" w:hAnsi="Times New Roman"/>
        </w:rPr>
        <w:t xml:space="preserve">Covalent radiopharmaceuticals represent a promising strategy for improving tumor retention. Liu and colleagues demonstrated that covalent targeted radioligands (CTRs) employing sulfur(VI) fluoride exchange (SuFEx) chemistry achieve ~13-fold improvement in tumor retention [5]. In parallel, ligand-directed transfer (LDT) chemistry offers a complementary covalent strategy: N-acyl-N-alkyl/aryl sulfonamide (NASA/ArNASA) warheads exploit proximity-driven effective molarity enhancement to achieve traceless covalent labeling, preferentially targeting lysine ε-amino groups [6–8]. LDT probes release their targeting ligand after covalent transfer, potentially reducing persistent ligand occupancy—a feature attractive for radiopharmaceutical applications where receptor-mediated internalization is critical.</w:t>
      </w:r>
    </w:p>
    <w:p>
      <w:pPr>
        <w:pStyle w:val="BodyText"/>
      </w:pPr>
      <w:r>
        <w:rPr>
          <w:rFonts w:ascii="Times New Roman" w:hAnsi="Times New Roman"/>
        </w:rPr>
        <w:t xml:space="preserve">Target selection for covalent radiopharmaceuticals demands considerations beyond expression level. The structural compatibility between the covalent warhead and the target protein—specifically, the presence of nucleophilic residues (Lys, Cys, Tyr, Ser) within extracellular-accessible, ligandable pockets—determines whether proximity-driven chemistry can proceed. LDT chemistry constrains residue preference: lysine forms stable amide adducts, whereas cysteine, tyrosine, and serine form hydrolytically labile thioester, phenol ester, and alkyl ester linkages [9,10]. Histidine is non-reactive with NASA warheads [10]. Critically, for radiopharmaceutical applications, the reactive pocket must be positioned on the extracellular face of the target protein to be accessible to circulating probes.</w:t>
      </w:r>
    </w:p>
    <w:p>
      <w:pPr>
        <w:pStyle w:val="BodyText"/>
      </w:pPr>
      <w:r>
        <w:rPr>
          <w:rFonts w:ascii="Times New Roman" w:hAnsi="Times New Roman"/>
        </w:rPr>
        <w:t xml:space="preserve">Existing computational tools for surface-target discovery—ImmunoTar [11], TCSA [12], and DrugMap [13]—are designed for immunotherapy (CAR-T, ADC) or general cysteine profiling. None incorporate 3D pocket analysis, extracellular accessibility filtering, or covalent chemistry scoring. This gap motivated the development of LDT-TargetDB, the first computational framework that systematically evaluates surface protein targets through the lens of covalent warhead chemistry while requiring extracellular pocket accessibility. The overall pipeline is illustrated in Figure 1, with the sequential filtering cascade shown in Figure 9.</w:t>
      </w:r>
    </w:p>
    <w:p>
      <w:pPr>
        <w:pStyle w:val="CaptionedFigure"/>
      </w:pPr>
      <w:r>
        <w:rPr>
          <w:rFonts w:ascii="Times New Roman" w:hAnsi="Times New Roman"/>
        </w:rPr>
        <w:drawing>
          <wp:inline>
            <wp:extent cx="5334000" cy="3555999"/>
            <wp:effectExtent b="0" l="0" r="0" t="0"/>
            <wp:docPr descr="Figure 1: Workflow overview." title="" id="11" name="Picture"/>
            <a:graphic>
              <a:graphicData uri="http://schemas.openxmlformats.org/drawingml/2006/picture">
                <pic:pic>
                  <pic:nvPicPr>
                    <pic:cNvPr descr="results/figures/LDT_TargetDB_research_pipeline_900DPI.png" id="12" name="Picture"/>
                    <pic:cNvPicPr>
                      <a:picLocks noChangeArrowheads="1" noChangeAspect="1"/>
                    </pic:cNvPicPr>
                  </pic:nvPicPr>
                  <pic:blipFill>
                    <a:blip r:embed="rId1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1: Workflow overview.</w:t>
      </w:r>
    </w:p>
    <w:p>
      <w:pPr>
        <w:pStyle w:val="BodyText"/>
      </w:pPr>
      <w:r>
        <w:rPr>
          <w:rFonts w:ascii="Times New Roman" w:hAnsi="Times New Roman"/>
          <w:b/>
          <w:bCs/>
        </w:rPr>
        <w:t xml:space="preserve">Figure 1. LDT-TargetDB analysis pipeline.</w:t>
      </w:r>
      <w:r>
        <w:rPr>
          <w:rFonts w:ascii="Times New Roman" w:hAnsi="Times New Roman"/>
        </w:rPr>
        <w:t xml:space="preserve"> </w:t>
      </w:r>
      <w:r>
        <w:rPr>
          <w:rFonts w:ascii="Times New Roman" w:hAnsi="Times New Roman"/>
        </w:rPr>
        <w:t xml:space="preserve">Five input data layers are integrated through a four-step processing pipeline to produce ranked targets with multi-dimensional validation.</w:t>
      </w:r>
    </w:p>
    <w:p>
      <w:pPr>
        <w:pStyle w:val="CaptionedFigure"/>
      </w:pPr>
      <w:r>
        <w:rPr>
          <w:rFonts w:ascii="Times New Roman" w:hAnsi="Times New Roman"/>
        </w:rPr>
        <w:drawing>
          <wp:inline>
            <wp:extent cx="5334000" cy="2904109"/>
            <wp:effectExtent b="0" l="0" r="0" t="0"/>
            <wp:docPr descr="Figure 9: Filter cascade." title="" id="14" name="Picture"/>
            <a:graphic>
              <a:graphicData uri="http://schemas.openxmlformats.org/drawingml/2006/picture">
                <pic:pic>
                  <pic:nvPicPr>
                    <pic:cNvPr descr="results/figures/figure_filter_cascade.png" id="15" name="Picture"/>
                    <pic:cNvPicPr>
                      <a:picLocks noChangeArrowheads="1" noChangeAspect="1"/>
                    </pic:cNvPicPr>
                  </pic:nvPicPr>
                  <pic:blipFill>
                    <a:blip r:embed="rId13"/>
                    <a:stretch>
                      <a:fillRect/>
                    </a:stretch>
                  </pic:blipFill>
                  <pic:spPr bwMode="auto">
                    <a:xfrm>
                      <a:off x="0" y="0"/>
                      <a:ext cx="5334000" cy="290410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9: Filter cascade.</w:t>
      </w:r>
    </w:p>
    <w:p>
      <w:pPr>
        <w:pStyle w:val="BodyText"/>
      </w:pPr>
      <w:r>
        <w:rPr>
          <w:rFonts w:ascii="Times New Roman" w:hAnsi="Times New Roman"/>
          <w:b/>
          <w:bCs/>
        </w:rPr>
        <w:t xml:space="preserve">Figure 9. Filter cascade.</w:t>
      </w:r>
      <w:r>
        <w:rPr>
          <w:rFonts w:ascii="Times New Roman" w:hAnsi="Times New Roman"/>
        </w:rPr>
        <w:t xml:space="preserve"> </w:t>
      </w:r>
      <w:r>
        <w:rPr>
          <w:rFonts w:ascii="Times New Roman" w:hAnsi="Times New Roman"/>
        </w:rPr>
        <w:t xml:space="preserve">Sequential reduction from 2,799 surface proteins to extracellular-confirmed targets.</w:t>
      </w:r>
    </w:p>
    <w:bookmarkEnd w:id="16"/>
    <w:bookmarkStart w:id="37" w:name="methods"/>
    <w:p>
      <w:pPr>
        <w:pStyle w:val="Heading2"/>
      </w:pPr>
      <w:r>
        <w:rPr>
          <w:rFonts w:ascii="Times New Roman" w:hAnsi="Times New Roman"/>
        </w:rPr>
        <w:t xml:space="preserve">METHODS</w:t>
      </w:r>
    </w:p>
    <w:bookmarkStart w:id="17" w:name="X281a8916fccccec01be32b20319d277972af43a"/>
    <w:p>
      <w:pPr>
        <w:pStyle w:val="Heading3"/>
      </w:pPr>
      <w:r>
        <w:rPr>
          <w:rFonts w:ascii="Times New Roman" w:hAnsi="Times New Roman"/>
        </w:rPr>
        <w:t xml:space="preserve">Construction of the Extracellular Surface Target Universe</w:t>
      </w:r>
    </w:p>
    <w:p>
      <w:pPr>
        <w:pStyle w:val="FirstParagraph"/>
      </w:pPr>
      <w:r>
        <w:rPr>
          <w:rFonts w:ascii="Times New Roman" w:hAnsi="Times New Roman"/>
        </w:rPr>
        <w:t xml:space="preserve">The primary surface protein set was derived from the SURFY in silico human surfaceome [14,22] (2,886 proteins, 93.5% accuracy). After deduplication, 2,799 unique surface proteins formed the initial candidate set. Pan-cancer RNA-seq data (TCGA, 32 cancer types, 10,535 samples including 9,186 primary tumors) and normal tissue RNA-seq data (GTEx, 30 tissues, 7,862 samples) were obtained from UCSC Xena. A Tumor Specificity Index (TSI) was calculated for each surface gene as</w:t>
      </w:r>
      <w:r>
        <w:rPr>
          <w:rFonts w:ascii="Times New Roman" w:hAnsi="Times New Roman"/>
        </w:rPr>
        <w:t xml:space="preserve"> </w:t>
      </w:r>
      <m:oMath>
        <m:r>
          <m:t>T</m:t>
        </m:r>
        <m:r>
          <m:t>S</m:t>
        </m:r>
        <m:r>
          <m:t>I</m:t>
        </m:r>
        <m:r>
          <m:rPr>
            <m:sty m:val="p"/>
          </m:rPr>
          <m:t>=</m:t>
        </m:r>
        <m:r>
          <m:t>F</m:t>
        </m:r>
        <m:sSub>
          <m:e>
            <m:r>
              <m:t>C</m:t>
            </m:r>
          </m:e>
          <m:sub>
            <m:r>
              <m:t>l</m:t>
            </m:r>
            <m:r>
              <m:t>o</m:t>
            </m:r>
            <m:r>
              <m:t>g</m:t>
            </m:r>
            <m:r>
              <m:t>2</m:t>
            </m:r>
          </m:sub>
        </m:sSub>
        <m:r>
          <m:rPr>
            <m:sty m:val="p"/>
          </m:rPr>
          <m:t>×</m:t>
        </m:r>
        <m:sSub>
          <m:e>
            <m:r>
              <m:t>P</m:t>
            </m:r>
          </m:e>
          <m:sub>
            <m:r>
              <m:t>t</m:t>
            </m:r>
            <m:r>
              <m:t>u</m:t>
            </m:r>
            <m:r>
              <m:t>m</m:t>
            </m:r>
            <m:r>
              <m:t>o</m:t>
            </m:r>
            <m:r>
              <m:t>r</m:t>
            </m:r>
          </m:sub>
        </m:sSub>
        <m:r>
          <m:rPr>
            <m:sty m:val="p"/>
          </m:rPr>
          <m:t>/</m:t>
        </m:r>
        <m:rad>
          <m:radPr>
            <m:degHide m:val="on"/>
          </m:radPr>
          <m:deg/>
          <m:e>
            <m:sSub>
              <m:e>
                <m:r>
                  <m:t>N</m:t>
                </m:r>
              </m:e>
              <m:sub>
                <m:r>
                  <m:t>n</m:t>
                </m:r>
                <m:r>
                  <m:t>o</m:t>
                </m:r>
                <m:r>
                  <m:t>r</m:t>
                </m:r>
                <m:r>
                  <m:t>m</m:t>
                </m:r>
                <m:r>
                  <m:t>a</m:t>
                </m:r>
                <m:r>
                  <m:t>l</m:t>
                </m:r>
              </m:sub>
            </m:sSub>
            <m:r>
              <m:rPr>
                <m:sty m:val="p"/>
              </m:rPr>
              <m:t>+</m:t>
            </m:r>
            <m:r>
              <m:t>1</m:t>
            </m:r>
          </m:e>
        </m:rad>
      </m:oMath>
      <w:r>
        <w:rPr>
          <w:rFonts w:ascii="Times New Roman" w:hAnsi="Times New Roman"/>
        </w:rPr>
        <w:t xml:space="preserve">, where</w:t>
      </w:r>
      <w:r>
        <w:rPr>
          <w:rFonts w:ascii="Times New Roman" w:hAnsi="Times New Roman"/>
        </w:rPr>
        <w:t xml:space="preserve"> </w:t>
      </w:r>
      <m:oMath>
        <m:r>
          <m:t>F</m:t>
        </m:r>
        <m:sSub>
          <m:e>
            <m:r>
              <m:t>C</m:t>
            </m:r>
          </m:e>
          <m:sub>
            <m:r>
              <m:t>l</m:t>
            </m:r>
            <m:r>
              <m:t>o</m:t>
            </m:r>
            <m:r>
              <m:t>g</m:t>
            </m:r>
            <m:r>
              <m:t>2</m:t>
            </m:r>
          </m:sub>
        </m:sSub>
      </m:oMath>
      <w:r>
        <w:rPr>
          <w:rFonts w:ascii="Times New Roman" w:hAnsi="Times New Roman"/>
        </w:rPr>
        <w:t xml:space="preserve"> </w:t>
      </w:r>
      <w:r>
        <w:rPr>
          <w:rFonts w:ascii="Times New Roman" w:hAnsi="Times New Roman"/>
        </w:rPr>
        <w:t xml:space="preserve">is the log2 fold change of median tumor versus normal expression,</w:t>
      </w:r>
      <w:r>
        <w:rPr>
          <w:rFonts w:ascii="Times New Roman" w:hAnsi="Times New Roman"/>
        </w:rPr>
        <w:t xml:space="preserve"> </w:t>
      </w:r>
      <m:oMath>
        <m:sSub>
          <m:e>
            <m:r>
              <m:t>P</m:t>
            </m:r>
          </m:e>
          <m:sub>
            <m:r>
              <m:t>t</m:t>
            </m:r>
            <m:r>
              <m:t>u</m:t>
            </m:r>
            <m:r>
              <m:t>m</m:t>
            </m:r>
            <m:r>
              <m:t>o</m:t>
            </m:r>
            <m:r>
              <m:t>r</m:t>
            </m:r>
          </m:sub>
        </m:sSub>
      </m:oMath>
      <w:r>
        <w:rPr>
          <w:rFonts w:ascii="Times New Roman" w:hAnsi="Times New Roman"/>
        </w:rPr>
        <w:t xml:space="preserve"> </w:t>
      </w:r>
      <w:r>
        <w:rPr>
          <w:rFonts w:ascii="Times New Roman" w:hAnsi="Times New Roman"/>
        </w:rPr>
        <w:t xml:space="preserve">is the fraction of tumor samples with TPM &gt; 1, and</w:t>
      </w:r>
      <w:r>
        <w:rPr>
          <w:rFonts w:ascii="Times New Roman" w:hAnsi="Times New Roman"/>
        </w:rPr>
        <w:t xml:space="preserve"> </w:t>
      </w:r>
      <m:oMath>
        <m:sSub>
          <m:e>
            <m:r>
              <m:t>N</m:t>
            </m:r>
          </m:e>
          <m:sub>
            <m:r>
              <m:t>n</m:t>
            </m:r>
            <m:r>
              <m:t>o</m:t>
            </m:r>
            <m:r>
              <m:t>r</m:t>
            </m:r>
            <m:r>
              <m:t>m</m:t>
            </m:r>
            <m:r>
              <m:t>a</m:t>
            </m:r>
            <m:r>
              <m:t>l</m:t>
            </m:r>
          </m:sub>
        </m:sSub>
      </m:oMath>
      <w:r>
        <w:rPr>
          <w:rFonts w:ascii="Times New Roman" w:hAnsi="Times New Roman"/>
        </w:rPr>
        <w:t xml:space="preserve"> </w:t>
      </w:r>
      <w:r>
        <w:rPr>
          <w:rFonts w:ascii="Times New Roman" w:hAnsi="Times New Roman"/>
        </w:rPr>
        <w:t xml:space="preserve">is the number of GTEx tissues with expression exceeding 0.125 TPM.</w:t>
      </w:r>
    </w:p>
    <w:bookmarkEnd w:id="17"/>
    <w:bookmarkStart w:id="21" w:name="extracellular-accessibility-filtering"/>
    <w:p>
      <w:pPr>
        <w:pStyle w:val="Heading3"/>
      </w:pPr>
      <w:r>
        <w:rPr>
          <w:rFonts w:ascii="Times New Roman" w:hAnsi="Times New Roman"/>
        </w:rPr>
        <w:t xml:space="preserve">Extracellular Accessibility Filtering</w:t>
      </w:r>
    </w:p>
    <w:p>
      <w:pPr>
        <w:pStyle w:val="FirstParagraph"/>
      </w:pPr>
      <w:r>
        <w:rPr>
          <w:rFonts w:ascii="Times New Roman" w:hAnsi="Times New Roman"/>
        </w:rPr>
        <w:t xml:space="preserve">To ensure that detected pockets are accessible to circulating radiopharmaceutical probes, we retrieved topological domain annotations for the top 200 ranked proteins from UniProt (fields:</w:t>
      </w:r>
      <w:r>
        <w:rPr>
          <w:rFonts w:ascii="Times New Roman" w:hAnsi="Times New Roman"/>
        </w:rPr>
        <w:t xml:space="preserve"> </w:t>
      </w:r>
      <w:r>
        <w:rPr>
          <w:rStyle w:val="VerbatimChar"/>
          <w:rFonts w:ascii="Times New Roman" w:hAnsi="Times New Roman"/>
        </w:rPr>
        <w:t xml:space="preserve">ft_topo_dom</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ft_transmem</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ft_signal</w:t>
      </w:r>
      <w:r>
        <w:rPr>
          <w:rFonts w:ascii="Times New Roman" w:hAnsi="Times New Roman"/>
        </w:rPr>
        <w:t xml:space="preserve">). Proteins were assigned an Extracellular Accessibility Score (EAS) based on the presence of annotated extracellular topological domains. Proteins with confirmed extracellular domains received EAS = 1.0; those without UniProt topology data but with SURFY surface prediction received EAS = 0.7 (reflecting the SURFY classifier’s demonstrated ability to identify bona fide surface proteins); proteins with only transmembrane or cytoplasmic annotations received lower scores. The overall extracellular domain confirmation rate was 78.5% (157/200 top targets).</w:t>
      </w:r>
    </w:p>
    <w:p>
      <w:pPr>
        <w:pStyle w:val="CaptionedFigure"/>
      </w:pPr>
      <w:r>
        <w:rPr>
          <w:rFonts w:ascii="Times New Roman" w:hAnsi="Times New Roman"/>
        </w:rPr>
        <w:drawing>
          <wp:inline>
            <wp:extent cx="5334000" cy="1555649"/>
            <wp:effectExtent b="0" l="0" r="0" t="0"/>
            <wp:docPr descr="Figure 2: Database overview." title="" id="19" name="Picture"/>
            <a:graphic>
              <a:graphicData uri="http://schemas.openxmlformats.org/drawingml/2006/picture">
                <pic:pic>
                  <pic:nvPicPr>
                    <pic:cNvPr descr="results/figures/figure1_overview.png" id="20" name="Picture"/>
                    <pic:cNvPicPr>
                      <a:picLocks noChangeArrowheads="1" noChangeAspect="1"/>
                    </pic:cNvPicPr>
                  </pic:nvPicPr>
                  <pic:blipFill>
                    <a:blip r:embed="rId18"/>
                    <a:stretch>
                      <a:fillRect/>
                    </a:stretch>
                  </pic:blipFill>
                  <pic:spPr bwMode="auto">
                    <a:xfrm>
                      <a:off x="0" y="0"/>
                      <a:ext cx="5334000" cy="1555649"/>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2: Database overview.</w:t>
      </w:r>
    </w:p>
    <w:p>
      <w:pPr>
        <w:pStyle w:val="BodyText"/>
      </w:pPr>
      <w:r>
        <w:rPr>
          <w:rFonts w:ascii="Times New Roman" w:hAnsi="Times New Roman"/>
          <w:b/>
          <w:bCs/>
        </w:rPr>
        <w:t xml:space="preserve">Figure 2. Database overview.</w:t>
      </w:r>
      <w:r>
        <w:rPr>
          <w:rFonts w:ascii="Times New Roman" w:hAnsi="Times New Roman"/>
        </w:rPr>
        <w:t xml:space="preserve"> </w:t>
      </w:r>
      <w:r>
        <w:rPr>
          <w:rFonts w:ascii="Times New Roman" w:hAnsi="Times New Roman"/>
        </w:rPr>
        <w:t xml:space="preserve">(A) TSI distribution across 2,663 surface proteins. (B) Number of pockets per protein. (C) TSI versus LDT scoring by nucleophile type.</w:t>
      </w:r>
    </w:p>
    <w:bookmarkEnd w:id="21"/>
    <w:bookmarkStart w:id="28" w:name="X0078b42f26f7eb11b0408afb4dedad7edca3c9c"/>
    <w:p>
      <w:pPr>
        <w:pStyle w:val="Heading3"/>
      </w:pPr>
      <w:r>
        <w:rPr>
          <w:rFonts w:ascii="Times New Roman" w:hAnsi="Times New Roman"/>
        </w:rPr>
        <w:t xml:space="preserve">Structural Pocket Analysis and Covalent Chemistry Scoring</w:t>
      </w:r>
    </w:p>
    <w:p>
      <w:pPr>
        <w:pStyle w:val="FirstParagraph"/>
      </w:pPr>
      <w:r>
        <w:rPr>
          <w:rFonts w:ascii="Times New Roman" w:hAnsi="Times New Roman"/>
        </w:rPr>
        <w:t xml:space="preserve">AlphaFold-predicted protein structures (v6, downloaded November 2024; UniProt release 2024_04) [17,18] were obtained for all surface proteins with TSI &gt; −0.01 (2,490 proteins). Binding pocket detection was performed using pyKVFinder [19,20] with grid-based cavity detection (step = 0.8 Å, probe_in = 1.4 Å, probe_out = 4.0 Å, volume cutoff = 5.0 Å³). For each detected pocket, nucleophilic residues (Lys, Cys, Tyr, Ser) were scored based on three components:</w:t>
      </w:r>
    </w:p>
    <w:p>
      <w:pPr>
        <w:numPr>
          <w:ilvl w:val="0"/>
          <w:numId w:val="1001"/>
        </w:numPr>
      </w:pPr>
      <w:r>
        <w:rPr>
          <w:rFonts w:ascii="Times New Roman" w:hAnsi="Times New Roman"/>
          <w:b/>
          <w:bCs/>
        </w:rPr>
        <w:t xml:space="preserve">Residue type weight (</w:t>
      </w:r>
      <m:oMath>
        <m:r>
          <m:t>w</m:t>
        </m:r>
      </m:oMath>
      <w:r>
        <w:rPr>
          <w:rFonts w:ascii="Times New Roman" w:hAnsi="Times New Roman"/>
          <w:b/>
          <w:bCs/>
        </w:rPr>
        <w:t xml:space="preserve">):</w:t>
      </w:r>
      <w:r>
        <w:rPr>
          <w:rFonts w:ascii="Times New Roman" w:hAnsi="Times New Roman"/>
        </w:rPr>
        <w:t xml:space="preserve"> </w:t>
      </w:r>
      <w:r>
        <w:rPr>
          <w:rFonts w:ascii="Times New Roman" w:hAnsi="Times New Roman"/>
        </w:rPr>
        <w:t xml:space="preserve">Lys = 1.0 (stable amide), Cys = 0.3 (labile thioester), Tyr = 0.2 (labile phenol ester), Ser = 0.1 (labile alkyl ester). Histidine was excluded [10]. The ArNASA variant [7] provides improved stability.</w:t>
      </w:r>
    </w:p>
    <w:p>
      <w:pPr>
        <w:numPr>
          <w:ilvl w:val="0"/>
          <w:numId w:val="1001"/>
        </w:numPr>
      </w:pPr>
      <w:r>
        <w:rPr>
          <w:rFonts w:ascii="Times New Roman" w:hAnsi="Times New Roman"/>
          <w:b/>
          <w:bCs/>
        </w:rPr>
        <w:t xml:space="preserve">pKa reactivity score (</w:t>
      </w:r>
      <m:oMath>
        <m:sSub>
          <m:e>
            <m:r>
              <m:t>p</m:t>
            </m:r>
          </m:e>
          <m:sub>
            <m:r>
              <m:t>s</m:t>
            </m:r>
          </m:sub>
        </m:sSub>
      </m:oMath>
      <w:r>
        <w:rPr>
          <w:rFonts w:ascii="Times New Roman" w:hAnsi="Times New Roman"/>
          <w:b/>
          <w:bCs/>
        </w:rPr>
        <w:t xml:space="preserve">):</w:t>
      </w:r>
      <w:r>
        <w:rPr>
          <w:rFonts w:ascii="Times New Roman" w:hAnsi="Times New Roman"/>
        </w:rPr>
        <w:t xml:space="preserve"> </w:t>
      </w:r>
      <m:oMath>
        <m:sSub>
          <m:e>
            <m:r>
              <m:t>p</m:t>
            </m:r>
          </m:e>
          <m:sub>
            <m:r>
              <m:t>s</m:t>
            </m:r>
          </m:sub>
        </m:sSub>
        <m:r>
          <m:rPr>
            <m:sty m:val="p"/>
          </m:rPr>
          <m:t>=</m:t>
        </m:r>
        <m:sSup>
          <m:e>
            <m:r>
              <m:t>e</m:t>
            </m:r>
          </m:e>
          <m:sup>
            <m:r>
              <m:rPr>
                <m:sty m:val="p"/>
              </m:rPr>
              <m:t>−</m:t>
            </m:r>
            <m:r>
              <m:rPr>
                <m:sty m:val="p"/>
              </m:rPr>
              <m:t>|</m:t>
            </m:r>
            <m:r>
              <m:t>p</m:t>
            </m:r>
            <m:r>
              <m:t>K</m:t>
            </m:r>
            <m:r>
              <m:t>a</m:t>
            </m:r>
            <m:r>
              <m:rPr>
                <m:sty m:val="p"/>
              </m:rPr>
              <m:t>−</m:t>
            </m:r>
            <m:r>
              <m:t>7.4</m:t>
            </m:r>
            <m:r>
              <m:rPr>
                <m:sty m:val="p"/>
              </m:rPr>
              <m:t>|</m:t>
            </m:r>
            <m:r>
              <m:rPr>
                <m:sty m:val="p"/>
              </m:rPr>
              <m:t>/</m:t>
            </m:r>
            <m:r>
              <m:t>2</m:t>
            </m:r>
          </m:sup>
        </m:sSup>
      </m:oMath>
      <w:r>
        <w:rPr>
          <w:rFonts w:ascii="Times New Roman" w:hAnsi="Times New Roman"/>
        </w:rPr>
        <w:t xml:space="preserve">, where pKa values were empirically predicted using PROPKA 3.5 [15].</w:t>
      </w:r>
    </w:p>
    <w:p>
      <w:pPr>
        <w:numPr>
          <w:ilvl w:val="0"/>
          <w:numId w:val="1001"/>
        </w:numPr>
      </w:pPr>
      <w:r>
        <w:rPr>
          <w:rFonts w:ascii="Times New Roman" w:hAnsi="Times New Roman"/>
          <w:b/>
          <w:bCs/>
        </w:rPr>
        <w:t xml:space="preserve">Solvent accessibility score (</w:t>
      </w:r>
      <m:oMath>
        <m:sSub>
          <m:e>
            <m:r>
              <m:t>s</m:t>
            </m:r>
          </m:e>
          <m:sub>
            <m:r>
              <m:t>s</m:t>
            </m:r>
          </m:sub>
        </m:sSub>
      </m:oMath>
      <w:r>
        <w:rPr>
          <w:rFonts w:ascii="Times New Roman" w:hAnsi="Times New Roman"/>
          <w:b/>
          <w:bCs/>
        </w:rPr>
        <w:t xml:space="preserve">):</w:t>
      </w:r>
      <w:r>
        <w:rPr>
          <w:rFonts w:ascii="Times New Roman" w:hAnsi="Times New Roman"/>
        </w:rPr>
        <w:t xml:space="preserve"> </w:t>
      </w:r>
      <m:oMath>
        <m:sSub>
          <m:e>
            <m:r>
              <m:t>s</m:t>
            </m:r>
          </m:e>
          <m:sub>
            <m:r>
              <m:t>s</m:t>
            </m:r>
          </m:sub>
        </m:sSub>
        <m:r>
          <m:rPr>
            <m:sty m:val="p"/>
          </m:rPr>
          <m:t>=</m:t>
        </m:r>
        <m:r>
          <m:rPr>
            <m:sty m:val="p"/>
          </m:rPr>
          <m:t>min</m:t>
        </m:r>
        <m:r>
          <m:rPr>
            <m:sty m:val="p"/>
          </m:rPr>
          <m:t>(</m:t>
        </m:r>
        <m:r>
          <m:t>S</m:t>
        </m:r>
        <m:r>
          <m:t>A</m:t>
        </m:r>
        <m:r>
          <m:t>S</m:t>
        </m:r>
        <m:sSub>
          <m:e>
            <m:r>
              <m:t>A</m:t>
            </m:r>
          </m:e>
          <m:sub>
            <m:r>
              <m:t>r</m:t>
            </m:r>
            <m:r>
              <m:t>e</m:t>
            </m:r>
            <m:r>
              <m:t>l</m:t>
            </m:r>
          </m:sub>
        </m:sSub>
        <m:r>
          <m:rPr>
            <m:sty m:val="p"/>
          </m:rPr>
          <m:t>/</m:t>
        </m:r>
        <m:r>
          <m:t>50</m:t>
        </m:r>
        <m:r>
          <m:rPr>
            <m:sty m:val="p"/>
          </m:rPr>
          <m:t>%</m:t>
        </m:r>
        <m:r>
          <m:rPr>
            <m:sty m:val="p"/>
          </m:rPr>
          <m:t>,</m:t>
        </m:r>
        <m:r>
          <m:t>1.0</m:t>
        </m:r>
        <m:r>
          <m:rPr>
            <m:sty m:val="p"/>
          </m:rPr>
          <m:t>)</m:t>
        </m:r>
      </m:oMath>
      <w:r>
        <w:rPr>
          <w:rFonts w:ascii="Times New Roman" w:hAnsi="Times New Roman"/>
        </w:rPr>
        <w:t xml:space="preserve">, calculated using FreeSASA [16].</w:t>
      </w:r>
    </w:p>
    <w:p>
      <w:pPr>
        <w:numPr>
          <w:ilvl w:val="0"/>
          <w:numId w:val="1001"/>
        </w:numPr>
      </w:pPr>
      <w:r>
        <w:rPr>
          <w:rFonts w:ascii="Times New Roman" w:hAnsi="Times New Roman"/>
          <w:b/>
          <w:bCs/>
        </w:rPr>
        <w:t xml:space="preserve">Proximity boost (</w:t>
      </w:r>
      <m:oMath>
        <m:r>
          <m:t>b</m:t>
        </m:r>
      </m:oMath>
      <w:r>
        <w:rPr>
          <w:rFonts w:ascii="Times New Roman" w:hAnsi="Times New Roman"/>
          <w:b/>
          <w:bCs/>
        </w:rPr>
        <w:t xml:space="preserve">):</w:t>
      </w:r>
      <w:r>
        <w:rPr>
          <w:rFonts w:ascii="Times New Roman" w:hAnsi="Times New Roman"/>
        </w:rPr>
        <w:t xml:space="preserve"> </w:t>
      </w:r>
      <w:r>
        <w:rPr>
          <w:rFonts w:ascii="Times New Roman" w:hAnsi="Times New Roman"/>
        </w:rPr>
        <w:t xml:space="preserve">Lys receives a 2× factor reflecting the effective molarity enhancement (~10⁶-fold) in LDT chemistry [6].</w:t>
      </w:r>
    </w:p>
    <w:p>
      <w:pPr>
        <w:pStyle w:val="FirstParagraph"/>
      </w:pPr>
      <w:r>
        <w:rPr>
          <w:rFonts w:ascii="Times New Roman" w:hAnsi="Times New Roman"/>
        </w:rPr>
        <w:t xml:space="preserve">The LDT Transferability Score was defined as</w:t>
      </w:r>
      <w:r>
        <w:rPr>
          <w:rFonts w:ascii="Times New Roman" w:hAnsi="Times New Roman"/>
        </w:rPr>
        <w:t xml:space="preserve"> </w:t>
      </w:r>
      <m:oMath>
        <m:r>
          <m:t>L</m:t>
        </m:r>
        <m:r>
          <m:t>T</m:t>
        </m:r>
        <m:r>
          <m:t>S</m:t>
        </m:r>
        <m:r>
          <m:rPr>
            <m:sty m:val="p"/>
          </m:rPr>
          <m:t>=</m:t>
        </m:r>
        <m:r>
          <m:rPr>
            <m:sty m:val="p"/>
          </m:rPr>
          <m:t>max</m:t>
        </m:r>
        <m:r>
          <m:rPr>
            <m:sty m:val="p"/>
          </m:rPr>
          <m:t>(</m:t>
        </m:r>
        <m:r>
          <m:t>w</m:t>
        </m:r>
        <m:r>
          <m:rPr>
            <m:sty m:val="p"/>
          </m:rPr>
          <m:t>×</m:t>
        </m:r>
        <m:sSub>
          <m:e>
            <m:r>
              <m:t>p</m:t>
            </m:r>
          </m:e>
          <m:sub>
            <m:r>
              <m:t>s</m:t>
            </m:r>
          </m:sub>
        </m:sSub>
        <m:r>
          <m:rPr>
            <m:sty m:val="p"/>
          </m:rPr>
          <m:t>×</m:t>
        </m:r>
        <m:sSub>
          <m:e>
            <m:r>
              <m:t>s</m:t>
            </m:r>
          </m:e>
          <m:sub>
            <m:r>
              <m:t>s</m:t>
            </m:r>
          </m:sub>
        </m:sSub>
        <m:r>
          <m:rPr>
            <m:sty m:val="p"/>
          </m:rPr>
          <m:t>×</m:t>
        </m:r>
        <m:r>
          <m:t>b</m:t>
        </m:r>
        <m:r>
          <m:rPr>
            <m:sty m:val="p"/>
          </m:rPr>
          <m:t>)</m:t>
        </m:r>
      </m:oMath>
      <w:r>
        <w:rPr>
          <w:rFonts w:ascii="Times New Roman" w:hAnsi="Times New Roman"/>
        </w:rPr>
        <w:t xml:space="preserve"> </w:t>
      </w:r>
      <w:r>
        <w:rPr>
          <w:rFonts w:ascii="Times New Roman" w:hAnsi="Times New Roman"/>
        </w:rPr>
        <w:t xml:space="preserve">across all qualifying residues in each pocket. Structure quality was assessed via per-residue pLDDT scores.</w:t>
      </w:r>
    </w:p>
    <w:p>
      <w:pPr>
        <w:pStyle w:val="CaptionedFigure"/>
      </w:pPr>
      <w:r>
        <w:rPr>
          <w:rFonts w:ascii="Times New Roman" w:hAnsi="Times New Roman"/>
        </w:rPr>
        <w:drawing>
          <wp:inline>
            <wp:extent cx="5334000" cy="2128830"/>
            <wp:effectExtent b="0" l="0" r="0" t="0"/>
            <wp:docPr descr="Figure 5: Structure quality." title="" id="23" name="Picture"/>
            <a:graphic>
              <a:graphicData uri="http://schemas.openxmlformats.org/drawingml/2006/picture">
                <pic:pic>
                  <pic:nvPicPr>
                    <pic:cNvPr descr="results/figures/figure5_quality.png" id="24" name="Picture"/>
                    <pic:cNvPicPr>
                      <a:picLocks noChangeArrowheads="1" noChangeAspect="1"/>
                    </pic:cNvPicPr>
                  </pic:nvPicPr>
                  <pic:blipFill>
                    <a:blip r:embed="rId22"/>
                    <a:stretch>
                      <a:fillRect/>
                    </a:stretch>
                  </pic:blipFill>
                  <pic:spPr bwMode="auto">
                    <a:xfrm>
                      <a:off x="0" y="0"/>
                      <a:ext cx="5334000" cy="212883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5: Structure quality.</w:t>
      </w:r>
    </w:p>
    <w:p>
      <w:pPr>
        <w:pStyle w:val="BodyText"/>
      </w:pPr>
      <w:r>
        <w:rPr>
          <w:rFonts w:ascii="Times New Roman" w:hAnsi="Times New Roman"/>
          <w:b/>
          <w:bCs/>
        </w:rPr>
        <w:t xml:space="preserve">Figure 5. Structure quality assessment.</w:t>
      </w:r>
      <w:r>
        <w:rPr>
          <w:rFonts w:ascii="Times New Roman" w:hAnsi="Times New Roman"/>
        </w:rPr>
        <w:t xml:space="preserve"> </w:t>
      </w:r>
      <w:r>
        <w:rPr>
          <w:rFonts w:ascii="Times New Roman" w:hAnsi="Times New Roman"/>
        </w:rPr>
        <w:t xml:space="preserve">(A) Mean pLDDT versus LDT score. (B) Pocket count distribution.</w:t>
      </w:r>
    </w:p>
    <w:p>
      <w:pPr>
        <w:pStyle w:val="CaptionedFigure"/>
      </w:pPr>
      <w:r>
        <w:rPr>
          <w:rFonts w:ascii="Times New Roman" w:hAnsi="Times New Roman"/>
        </w:rPr>
        <w:drawing>
          <wp:inline>
            <wp:extent cx="5334000" cy="2074490"/>
            <wp:effectExtent b="0" l="0" r="0" t="0"/>
            <wp:docPr descr="Figure 6: Covalent comparison." title="" id="26" name="Picture"/>
            <a:graphic>
              <a:graphicData uri="http://schemas.openxmlformats.org/drawingml/2006/picture">
                <pic:pic>
                  <pic:nvPicPr>
                    <pic:cNvPr descr="results/figures/figure7_covalent_comparison.png" id="27" name="Picture"/>
                    <pic:cNvPicPr>
                      <a:picLocks noChangeArrowheads="1" noChangeAspect="1"/>
                    </pic:cNvPicPr>
                  </pic:nvPicPr>
                  <pic:blipFill>
                    <a:blip r:embed="rId25"/>
                    <a:stretch>
                      <a:fillRect/>
                    </a:stretch>
                  </pic:blipFill>
                  <pic:spPr bwMode="auto">
                    <a:xfrm>
                      <a:off x="0" y="0"/>
                      <a:ext cx="5334000" cy="2074490"/>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6: Covalent comparison.</w:t>
      </w:r>
    </w:p>
    <w:p>
      <w:pPr>
        <w:pStyle w:val="BodyText"/>
      </w:pPr>
      <w:r>
        <w:rPr>
          <w:rFonts w:ascii="Times New Roman" w:hAnsi="Times New Roman"/>
          <w:b/>
          <w:bCs/>
        </w:rPr>
        <w:t xml:space="preserve">Figure 6. Covalent strategy comparison.</w:t>
      </w:r>
      <w:r>
        <w:rPr>
          <w:rFonts w:ascii="Times New Roman" w:hAnsi="Times New Roman"/>
        </w:rPr>
        <w:t xml:space="preserve"> </w:t>
      </w:r>
      <w:r>
        <w:rPr>
          <w:rFonts w:ascii="Times New Roman" w:hAnsi="Times New Roman"/>
        </w:rPr>
        <w:t xml:space="preserve">Distribution of optimal covalent strategy per target.</w:t>
      </w:r>
    </w:p>
    <w:bookmarkEnd w:id="28"/>
    <w:bookmarkStart w:id="29" w:name="X136606b246285010f71e86bd41763a635eaf4e1"/>
    <w:p>
      <w:pPr>
        <w:pStyle w:val="Heading3"/>
      </w:pPr>
      <w:r>
        <w:rPr>
          <w:rFonts w:ascii="Times New Roman" w:hAnsi="Times New Roman"/>
        </w:rPr>
        <w:t xml:space="preserve">Composite Scoring and Multi-Dimensional Validation</w:t>
      </w:r>
    </w:p>
    <w:p>
      <w:pPr>
        <w:pStyle w:val="FirstParagraph"/>
      </w:pPr>
      <w:r>
        <w:rPr>
          <w:rFonts w:ascii="Times New Roman" w:hAnsi="Times New Roman"/>
        </w:rPr>
        <w:t xml:space="preserve">An enhanced composite score integrates multiple dimensions:</w:t>
      </w:r>
      <w:r>
        <w:rPr>
          <w:rFonts w:ascii="Times New Roman" w:hAnsi="Times New Roman"/>
        </w:rPr>
        <w:t xml:space="preserve"> </w:t>
      </w:r>
      <m:oMath>
        <m:r>
          <m:t>S</m:t>
        </m:r>
        <m:r>
          <m:rPr>
            <m:sty m:val="p"/>
          </m:rPr>
          <m:t>=</m:t>
        </m:r>
        <m:r>
          <m:t>0.25</m:t>
        </m:r>
        <m:r>
          <m:rPr>
            <m:sty m:val="p"/>
          </m:rPr>
          <m:t>×</m:t>
        </m:r>
        <m:r>
          <m:t>T</m:t>
        </m:r>
        <m:r>
          <m:t>S</m:t>
        </m:r>
        <m:r>
          <m:t>I</m:t>
        </m:r>
        <m:r>
          <m:rPr>
            <m:sty m:val="p"/>
          </m:rPr>
          <m:t>+</m:t>
        </m:r>
        <m:r>
          <m:t>0.20</m:t>
        </m:r>
        <m:r>
          <m:rPr>
            <m:sty m:val="p"/>
          </m:rPr>
          <m:t>×</m:t>
        </m:r>
        <m:sSub>
          <m:e>
            <m:r>
              <m:t>V</m:t>
            </m:r>
          </m:e>
          <m:sub>
            <m:r>
              <m:t>p</m:t>
            </m:r>
            <m:r>
              <m:t>o</m:t>
            </m:r>
            <m:r>
              <m:t>c</m:t>
            </m:r>
            <m:r>
              <m:t>k</m:t>
            </m:r>
            <m:r>
              <m:t>e</m:t>
            </m:r>
            <m:r>
              <m:t>t</m:t>
            </m:r>
          </m:sub>
        </m:sSub>
        <m:r>
          <m:rPr>
            <m:sty m:val="p"/>
          </m:rPr>
          <m:t>+</m:t>
        </m:r>
        <m:r>
          <m:t>0.20</m:t>
        </m:r>
        <m:r>
          <m:rPr>
            <m:sty m:val="p"/>
          </m:rPr>
          <m:t>×</m:t>
        </m:r>
        <m:r>
          <m:t>L</m:t>
        </m:r>
        <m:r>
          <m:t>T</m:t>
        </m:r>
        <m:r>
          <m:t>S</m:t>
        </m:r>
        <m:r>
          <m:rPr>
            <m:sty m:val="p"/>
          </m:rPr>
          <m:t>×</m:t>
        </m:r>
        <m:r>
          <m:t>E</m:t>
        </m:r>
        <m:r>
          <m:t>A</m:t>
        </m:r>
        <m:r>
          <m:t>S</m:t>
        </m:r>
        <m:r>
          <m:rPr>
            <m:sty m:val="p"/>
          </m:rPr>
          <m:t>+</m:t>
        </m:r>
        <m:r>
          <m:t>0.10</m:t>
        </m:r>
        <m:r>
          <m:rPr>
            <m:sty m:val="p"/>
          </m:rPr>
          <m:t>×</m:t>
        </m:r>
        <m:r>
          <m:t>p</m:t>
        </m:r>
        <m:r>
          <m:t>L</m:t>
        </m:r>
        <m:r>
          <m:t>D</m:t>
        </m:r>
        <m:r>
          <m:t>D</m:t>
        </m:r>
        <m:r>
          <m:t>T</m:t>
        </m:r>
        <m:r>
          <m:rPr>
            <m:sty m:val="p"/>
          </m:rPr>
          <m:t>+</m:t>
        </m:r>
        <m:r>
          <m:t>0.05</m:t>
        </m:r>
        <m:r>
          <m:rPr>
            <m:sty m:val="p"/>
          </m:rPr>
          <m:t>×</m:t>
        </m:r>
        <m:r>
          <m:t>D</m:t>
        </m:r>
        <m:r>
          <m:t>e</m:t>
        </m:r>
        <m:r>
          <m:t>p</m:t>
        </m:r>
        <m:r>
          <m:t>M</m:t>
        </m:r>
        <m:r>
          <m:t>a</m:t>
        </m:r>
        <m:r>
          <m:t>p</m:t>
        </m:r>
        <m:r>
          <m:rPr>
            <m:sty m:val="p"/>
          </m:rPr>
          <m:t>+</m:t>
        </m:r>
        <m:r>
          <m:t>0.20</m:t>
        </m:r>
        <m:r>
          <m:rPr>
            <m:sty m:val="p"/>
          </m:rPr>
          <m:t>×</m:t>
        </m:r>
        <m:r>
          <m:t>E</m:t>
        </m:r>
        <m:r>
          <m:t>A</m:t>
        </m:r>
        <m:r>
          <m:t>S</m:t>
        </m:r>
      </m:oMath>
      <w:r>
        <w:rPr>
          <w:rFonts w:ascii="Times New Roman" w:hAnsi="Times New Roman"/>
        </w:rPr>
        <w:t xml:space="preserve">, where EAS penalizes targets lacking confirmed extracellular pocket accessibility. Additional validation layers included: (i) normal tissue risk scoring using HPA IHC data weighted by organ-specific radiosensitivity (kidney, liver, salivary gland, bone marrow); (ii) gene essentiality from DepMap 25Q4 [23–25]; (iii) disease associations from Open Targets Platform v4 [28]; (iv) cross-species conservation from Ensembl Compara [29]; (v) TCGA mutation frequencies from FireBrowse; and (vi) binder tractability curated from literature evidence (ADC, antibody, radiotracer, small molecule availability).</w:t>
      </w:r>
    </w:p>
    <w:bookmarkEnd w:id="29"/>
    <w:bookmarkStart w:id="36" w:name="benchmarking-framework"/>
    <w:p>
      <w:pPr>
        <w:pStyle w:val="Heading3"/>
      </w:pPr>
      <w:r>
        <w:rPr>
          <w:rFonts w:ascii="Times New Roman" w:hAnsi="Times New Roman"/>
        </w:rPr>
        <w:t xml:space="preserve">Benchmarking Framework</w:t>
      </w:r>
    </w:p>
    <w:p>
      <w:pPr>
        <w:pStyle w:val="FirstParagraph"/>
      </w:pPr>
      <w:r>
        <w:rPr>
          <w:rFonts w:ascii="Times New Roman" w:hAnsi="Times New Roman"/>
        </w:rPr>
        <w:t xml:space="preserve">To evaluate the contribution of each data layer, we benchmarked four model variants against 17 known nuclear medicine targets: (i) Expression-only (TSI rank), (ii) LDT Chemistry-only (LTS rank), (iii) Full model without extracellular filter, and (iv) Full model with extracellular accessibility. Performance was assessed by AUROC and enrichment of known targets in the top 1%, 5%, and 10% of predictions.</w:t>
      </w:r>
    </w:p>
    <w:p>
      <w:pPr>
        <w:pStyle w:val="CaptionedFigure"/>
      </w:pPr>
      <w:r>
        <w:rPr>
          <w:rFonts w:ascii="Times New Roman" w:hAnsi="Times New Roman"/>
        </w:rPr>
        <w:drawing>
          <wp:inline>
            <wp:extent cx="5334000" cy="1616732"/>
            <wp:effectExtent b="0" l="0" r="0" t="0"/>
            <wp:docPr descr="Figure 8: Known targets validation." title="" id="31" name="Picture"/>
            <a:graphic>
              <a:graphicData uri="http://schemas.openxmlformats.org/drawingml/2006/picture">
                <pic:pic>
                  <pic:nvPicPr>
                    <pic:cNvPr descr="results/figures/figure3_validation.png" id="32" name="Picture"/>
                    <pic:cNvPicPr>
                      <a:picLocks noChangeArrowheads="1" noChangeAspect="1"/>
                    </pic:cNvPicPr>
                  </pic:nvPicPr>
                  <pic:blipFill>
                    <a:blip r:embed="rId30"/>
                    <a:stretch>
                      <a:fillRect/>
                    </a:stretch>
                  </pic:blipFill>
                  <pic:spPr bwMode="auto">
                    <a:xfrm>
                      <a:off x="0" y="0"/>
                      <a:ext cx="5334000" cy="161673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8: Known targets validation.</w:t>
      </w:r>
    </w:p>
    <w:p>
      <w:pPr>
        <w:pStyle w:val="BodyText"/>
      </w:pPr>
      <w:r>
        <w:rPr>
          <w:rFonts w:ascii="Times New Roman" w:hAnsi="Times New Roman"/>
          <w:b/>
          <w:bCs/>
        </w:rPr>
        <w:t xml:space="preserve">Figure 8. Validation against known targets.</w:t>
      </w:r>
      <w:r>
        <w:rPr>
          <w:rFonts w:ascii="Times New Roman" w:hAnsi="Times New Roman"/>
        </w:rPr>
        <w:t xml:space="preserve"> </w:t>
      </w:r>
      <w:r>
        <w:rPr>
          <w:rFonts w:ascii="Times New Roman" w:hAnsi="Times New Roman"/>
        </w:rPr>
        <w:t xml:space="preserve">(A) Ten targets mapped onto TSI landscape. (B) DepMap essentiality vs tumor specificity.</w:t>
      </w:r>
    </w:p>
    <w:p>
      <w:pPr>
        <w:pStyle w:val="CaptionedFigure"/>
      </w:pPr>
      <w:r>
        <w:rPr>
          <w:rFonts w:ascii="Times New Roman" w:hAnsi="Times New Roman"/>
        </w:rPr>
        <w:drawing>
          <wp:inline>
            <wp:extent cx="4146094" cy="4248372"/>
            <wp:effectExtent b="0" l="0" r="0" t="0"/>
            <wp:docPr descr="Figure 10: Benchmark curves." title="" id="34" name="Picture"/>
            <a:graphic>
              <a:graphicData uri="http://schemas.openxmlformats.org/drawingml/2006/picture">
                <pic:pic>
                  <pic:nvPicPr>
                    <pic:cNvPr descr="results/figures/figure_benchmark_roc.png" id="35" name="Picture"/>
                    <pic:cNvPicPr>
                      <a:picLocks noChangeArrowheads="1" noChangeAspect="1"/>
                    </pic:cNvPicPr>
                  </pic:nvPicPr>
                  <pic:blipFill>
                    <a:blip r:embed="rId33"/>
                    <a:stretch>
                      <a:fillRect/>
                    </a:stretch>
                  </pic:blipFill>
                  <pic:spPr bwMode="auto">
                    <a:xfrm>
                      <a:off x="0" y="0"/>
                      <a:ext cx="4146094" cy="4248372"/>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10: Benchmark curves.</w:t>
      </w:r>
    </w:p>
    <w:p>
      <w:pPr>
        <w:pStyle w:val="BodyText"/>
      </w:pPr>
      <w:r>
        <w:rPr>
          <w:rFonts w:ascii="Times New Roman" w:hAnsi="Times New Roman"/>
          <w:b/>
          <w:bCs/>
        </w:rPr>
        <w:t xml:space="preserve">Figure 10. Benchmark ROC and PR curves.</w:t>
      </w:r>
      <w:r>
        <w:rPr>
          <w:rFonts w:ascii="Times New Roman" w:hAnsi="Times New Roman"/>
        </w:rPr>
        <w:t xml:space="preserve"> </w:t>
      </w:r>
      <w:r>
        <w:rPr>
          <w:rFonts w:ascii="Times New Roman" w:hAnsi="Times New Roman"/>
        </w:rPr>
        <w:t xml:space="preserve">Four model variants compared against 17 known targets.</w:t>
      </w:r>
    </w:p>
    <w:bookmarkEnd w:id="36"/>
    <w:bookmarkEnd w:id="37"/>
    <w:bookmarkStart w:id="46" w:name="results"/>
    <w:p>
      <w:pPr>
        <w:pStyle w:val="Heading2"/>
      </w:pPr>
      <w:r>
        <w:rPr>
          <w:rFonts w:ascii="Times New Roman" w:hAnsi="Times New Roman"/>
        </w:rPr>
        <w:t xml:space="preserve">RESULTS</w:t>
      </w:r>
    </w:p>
    <w:bookmarkStart w:id="41" w:name="extracellular-surface-target-universe"/>
    <w:p>
      <w:pPr>
        <w:pStyle w:val="Heading3"/>
      </w:pPr>
      <w:r>
        <w:rPr>
          <w:rFonts w:ascii="Times New Roman" w:hAnsi="Times New Roman"/>
        </w:rPr>
        <w:t xml:space="preserve">Extracellular Surface Target Universe</w:t>
      </w:r>
    </w:p>
    <w:p>
      <w:pPr>
        <w:pStyle w:val="FirstParagraph"/>
      </w:pPr>
      <w:r>
        <w:rPr>
          <w:rFonts w:ascii="Times New Roman" w:hAnsi="Times New Roman"/>
        </w:rPr>
        <w:t xml:space="preserve">Of 2,799 surface proteins, 2,663 had expression data, 2,490 had available AlphaFold structures, and 2,473 completed structural analysis.</w:t>
      </w:r>
      <w:r>
        <w:rPr>
          <w:rFonts w:ascii="Times New Roman" w:hAnsi="Times New Roman"/>
        </w:rPr>
        <w:t xml:space="preserve"> </w:t>
      </w:r>
      <w:r>
        <w:rPr>
          <w:rFonts w:ascii="Times New Roman" w:hAnsi="Times New Roman"/>
        </w:rPr>
        <w:drawing>
          <wp:inline>
            <wp:extent cx="5334000" cy="1876493"/>
            <wp:effectExtent b="0" l="0" r="0" t="0"/>
            <wp:docPr descr="Figure 3: Expression profiles." title="" id="39" name="Picture"/>
            <a:graphic>
              <a:graphicData uri="http://schemas.openxmlformats.org/drawingml/2006/picture">
                <pic:pic>
                  <pic:nvPicPr>
                    <pic:cNvPr descr="results/figures/figure4_expression_features.png" id="40" name="Picture"/>
                    <pic:cNvPicPr>
                      <a:picLocks noChangeArrowheads="1" noChangeAspect="1"/>
                    </pic:cNvPicPr>
                  </pic:nvPicPr>
                  <pic:blipFill>
                    <a:blip r:embed="rId38"/>
                    <a:stretch>
                      <a:fillRect/>
                    </a:stretch>
                  </pic:blipFill>
                  <pic:spPr bwMode="auto">
                    <a:xfrm>
                      <a:off x="0" y="0"/>
                      <a:ext cx="5334000" cy="1876493"/>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Figure 3. Tumor expression profiles.</w:t>
      </w:r>
      <w:r>
        <w:rPr>
          <w:rFonts w:ascii="Times New Roman" w:hAnsi="Times New Roman"/>
        </w:rPr>
        <w:t xml:space="preserve"> </w:t>
      </w:r>
      <w:r>
        <w:rPr>
          <w:rFonts w:ascii="Times New Roman" w:hAnsi="Times New Roman"/>
        </w:rPr>
        <w:t xml:space="preserve">(A) Tumor median log2(TPM) for top 30 targets. (B) Tumor positive rate.</w:t>
      </w:r>
    </w:p>
    <w:p>
      <w:pPr>
        <w:pStyle w:val="BodyText"/>
      </w:pPr>
      <w:r>
        <w:rPr>
          <w:rFonts w:ascii="Times New Roman" w:hAnsi="Times New Roman"/>
        </w:rPr>
        <w:t xml:space="preserve">Binding pockets were detected in all 2,473 proteins, with 2,378 (96.2%) harboring LDT-qualifying nucleophilic residues. Extracellular topological domain annotation confirmed extracellular accessibility for 157/200 (78.5%) top targets (Figure 2). The overall analysis framework is illustrated in Figure 1.</w:t>
      </w:r>
    </w:p>
    <w:bookmarkEnd w:id="41"/>
    <w:bookmarkStart w:id="42" w:name="X98000cb5f375b308c5a3baad1c59e0e3e276eea"/>
    <w:p>
      <w:pPr>
        <w:pStyle w:val="Heading3"/>
      </w:pPr>
      <w:r>
        <w:rPr>
          <w:rFonts w:ascii="Times New Roman" w:hAnsi="Times New Roman"/>
        </w:rPr>
        <w:t xml:space="preserve">Top-Ranked Covalent Radiopharmaceutical Targets</w:t>
      </w:r>
    </w:p>
    <w:p>
      <w:pPr>
        <w:pStyle w:val="FirstParagraph"/>
      </w:pPr>
      <w:r>
        <w:rPr>
          <w:rFonts w:ascii="Times New Roman" w:hAnsi="Times New Roman"/>
        </w:rPr>
        <w:t xml:space="preserve">The top 30 entries are dominated by lysine-containing pockets (28/30, 93%), reflecting the NASA chemistry preference. With extracellular accessibility filtering, the top five targets are MUC1 (score 0.638, EAS = 1.0), ILDR1 (0.594, EAS = 1.0), LY75 (0.589, EAS = 1.0), ABCC4 (0.585, EAS = 1.0), and CDH1 (0.584, EAS = 1.0). Several clinically validated cancer surface proteins rank prominently: CLDN4 (rank 8, EAS = 1.0), EPCAM (rank 9, EAS = 1.0), and TACSTD2 (rank 26, EAS = 1.0) (Figure 7). Notably, ABCC5—the top-ranked target without extracellular filtering—drops to rank 6 with EAS = 0.5, illustrating the impact of the extracellular accessibility requirement.</w:t>
      </w:r>
    </w:p>
    <w:bookmarkEnd w:id="42"/>
    <w:bookmarkStart w:id="43" w:name="X3b16a9ab6f9340901d90d41749010b7fba49c77"/>
    <w:p>
      <w:pPr>
        <w:pStyle w:val="Heading3"/>
      </w:pPr>
      <w:r>
        <w:rPr>
          <w:rFonts w:ascii="Times New Roman" w:hAnsi="Times New Roman"/>
        </w:rPr>
        <w:t xml:space="preserve">Benchmarking Against Known Nuclear Medicine Targets</w:t>
      </w:r>
    </w:p>
    <w:p>
      <w:pPr>
        <w:pStyle w:val="FirstParagraph"/>
      </w:pPr>
      <w:r>
        <w:rPr>
          <w:rFonts w:ascii="Times New Roman" w:hAnsi="Times New Roman"/>
        </w:rPr>
        <w:t xml:space="preserve">Benchmarking against 17 known nuclear medicine targets revealed that the full model (v2, with extracellular filter) achieves 7.14-fold enrichment in the top 1% and 4.29-fold enrichment in the top 5%, matching the performance of expression-only ranking while providing orthogonal structural chemistry information (Figure 8). Expression-only (TSI) ranking alone achieves comparable enrichment (7.14× at top 1%), consistent with the established primacy of tumor expression for target identification. LDT chemistry alone performed poorly (0× at top 1%), confirming that chemical compatibility scoring is designed to complement—not replace—expression-based prioritization.</w:t>
      </w:r>
    </w:p>
    <w:bookmarkEnd w:id="43"/>
    <w:bookmarkStart w:id="44" w:name="cancer-type-specific-target-landscape"/>
    <w:p>
      <w:pPr>
        <w:pStyle w:val="Heading3"/>
      </w:pPr>
      <w:r>
        <w:rPr>
          <w:rFonts w:ascii="Times New Roman" w:hAnsi="Times New Roman"/>
        </w:rPr>
        <w:t xml:space="preserve">Cancer-Type-Specific Target Landscape</w:t>
      </w:r>
    </w:p>
    <w:p>
      <w:pPr>
        <w:pStyle w:val="FirstParagraph"/>
      </w:pPr>
      <w:r>
        <w:rPr>
          <w:rFonts w:ascii="Times New Roman" w:hAnsi="Times New Roman"/>
        </w:rPr>
        <w:t xml:space="preserve">Mapping 9,563 TCGA samples to 32 cancer types [30,31] enabled cancer-type-specific target prioritization (Figure 4). EPCAM shows strongest expression in colorectal cancer (10.0 log2 TPM), MUC1 in lung adenocarcinoma (9.8), and CD24 in kidney papillary carcinoma (10.7). The complete cancer-type expression matrix is available through the web interface.</w:t>
      </w:r>
    </w:p>
    <w:bookmarkEnd w:id="44"/>
    <w:bookmarkStart w:id="45" w:name="X12956ad6328a6b06bd94d7a406f390ad692a7e8"/>
    <w:p>
      <w:pPr>
        <w:pStyle w:val="Heading3"/>
      </w:pPr>
      <w:r>
        <w:rPr>
          <w:rFonts w:ascii="Times New Roman" w:hAnsi="Times New Roman"/>
        </w:rPr>
        <w:t xml:space="preserve">Normal Tissue Risk and Translational Assessment</w:t>
      </w:r>
    </w:p>
    <w:p>
      <w:pPr>
        <w:pStyle w:val="FirstParagraph"/>
      </w:pPr>
      <w:r>
        <w:rPr>
          <w:rFonts w:ascii="Times New Roman" w:hAnsi="Times New Roman"/>
        </w:rPr>
        <w:t xml:space="preserve">Normal tissue risk scoring across radiosensitive organs (kidney, liver, salivary gland, bone marrow) identified 131/200 top targets (65.5%) as low-risk (Figure 5). Binder tractability assessment revealed that 6/50 top targets have high tractability (existing ADC, antibody, or radiotracer evidence), including EPCAM (tractability score 7), MUC1 (5), and CLDN4 (3). Forty-three targets (86%) have low tractability, representing opportunities for novel binder development.</w:t>
      </w:r>
    </w:p>
    <w:bookmarkEnd w:id="45"/>
    <w:bookmarkEnd w:id="46"/>
    <w:bookmarkStart w:id="47" w:name="web-interface"/>
    <w:p>
      <w:pPr>
        <w:pStyle w:val="Heading2"/>
      </w:pPr>
      <w:r>
        <w:rPr>
          <w:rFonts w:ascii="Times New Roman" w:hAnsi="Times New Roman"/>
        </w:rPr>
        <w:t xml:space="preserve">WEB INTERFACE</w:t>
      </w:r>
    </w:p>
    <w:p>
      <w:pPr>
        <w:pStyle w:val="FirstParagraph"/>
      </w:pPr>
      <w:r>
        <w:rPr>
          <w:rFonts w:ascii="Times New Roman" w:hAnsi="Times New Roman"/>
        </w:rPr>
        <w:t xml:space="preserve">LDT-TargetDB is implemented as a Streamlit web application (https://ldt-targetdb.streamlit.app) with interactive filtering, visualization, target detail lookup, and CSV data export. The interface provides real-time updates across all views and requires no login or registration.</w:t>
      </w:r>
    </w:p>
    <w:bookmarkEnd w:id="47"/>
    <w:bookmarkStart w:id="48" w:name="discussion"/>
    <w:p>
      <w:pPr>
        <w:pStyle w:val="Heading2"/>
      </w:pPr>
      <w:r>
        <w:rPr>
          <w:rFonts w:ascii="Times New Roman" w:hAnsi="Times New Roman"/>
        </w:rPr>
        <w:t xml:space="preserve">DISCUSSION</w:t>
      </w:r>
    </w:p>
    <w:p>
      <w:pPr>
        <w:pStyle w:val="FirstParagraph"/>
      </w:pPr>
      <w:r>
        <w:rPr>
          <w:rFonts w:ascii="Times New Roman" w:hAnsi="Times New Roman"/>
        </w:rPr>
        <w:t xml:space="preserve">LDT-TargetDB provides the first systematic framework for computationally prioritizing extracellular surface protein targets for covalent radiopharmaceutical development. By integrating expression, structural, and chemical dimensions with extracellular accessibility filtering, the framework generates experimentally testable target hypotheses.</w:t>
      </w:r>
    </w:p>
    <w:p>
      <w:pPr>
        <w:pStyle w:val="BodyText"/>
      </w:pPr>
      <w:r>
        <w:rPr>
          <w:rFonts w:ascii="Times New Roman" w:hAnsi="Times New Roman"/>
        </w:rPr>
        <w:t xml:space="preserve">The benchmarking results reveal an important pattern: expression-based ranking remains the strongest single predictor of known nuclear medicine targets, while structural chemistry scoring provides orthogonal information that is particularly valuable for distinguishing among targets with similar expression profiles. This complementarity, rather than superiority over expression alone, represents the framework’s primary value-add. The observation that most top-ranked targets have low binder tractability highlights both the novelty of our predictions and the translational gap that must be bridged for clinical development.</w:t>
      </w:r>
    </w:p>
    <w:p>
      <w:pPr>
        <w:pStyle w:val="BodyText"/>
      </w:pPr>
      <w:r>
        <w:rPr>
          <w:rFonts w:ascii="Times New Roman" w:hAnsi="Times New Roman"/>
        </w:rPr>
        <w:t xml:space="preserve">Our normal tissue risk scoring identified that 65.5% of top targets show low expression in radiosensitive organs—a critical consideration for radiopharmaceutical development that extends beyond standard gene essentiality analyses. However, several limitations should be noted: LDT scoring relies on empirical weights; AlphaFold structures may miss cryptic pockets; the cavity detection rate of 96.2% reflects inclusive geometric detection parameters rather than true ligandability; the analysis does not explicitly map individual pocket residues to extracellular domains (only protein-level evidence was assessed); and binder tractability assessment used manual curation rather than systematic database queries.</w:t>
      </w:r>
    </w:p>
    <w:bookmarkEnd w:id="48"/>
    <w:bookmarkStart w:id="49" w:name="ethics-statement"/>
    <w:p>
      <w:pPr>
        <w:pStyle w:val="Heading2"/>
      </w:pPr>
      <w:r>
        <w:rPr>
          <w:rFonts w:ascii="Times New Roman" w:hAnsi="Times New Roman"/>
        </w:rPr>
        <w:t xml:space="preserve">ETHICS STATEMENT</w:t>
      </w:r>
    </w:p>
    <w:p>
      <w:pPr>
        <w:pStyle w:val="FirstParagraph"/>
      </w:pPr>
      <w:r>
        <w:rPr>
          <w:rFonts w:ascii="Times New Roman" w:hAnsi="Times New Roman"/>
        </w:rPr>
        <w:t xml:space="preserve">This study exclusively used publicly available, de-identified data. No human subjects, animal experiments, or primary clinical data were involved.</w:t>
      </w:r>
    </w:p>
    <w:bookmarkEnd w:id="49"/>
    <w:bookmarkStart w:id="50" w:name="data-availability"/>
    <w:p>
      <w:pPr>
        <w:pStyle w:val="Heading2"/>
      </w:pPr>
      <w:r>
        <w:rPr>
          <w:rFonts w:ascii="Times New Roman" w:hAnsi="Times New Roman"/>
        </w:rPr>
        <w:t xml:space="preserve">DATA AVAILABILITY</w:t>
      </w:r>
    </w:p>
    <w:p>
      <w:pPr>
        <w:pStyle w:val="FirstParagraph"/>
      </w:pPr>
      <w:r>
        <w:rPr>
          <w:rFonts w:ascii="Times New Roman" w:hAnsi="Times New Roman"/>
        </w:rPr>
        <w:t xml:space="preserve">LDT-TargetDB is freely accessible at https://ldt-targetdb.streamlit.app. All analysis data are downloadable. Source code: https://github.com/Londger/LDT-TargetDB (MIT license).</w:t>
      </w:r>
    </w:p>
    <w:bookmarkEnd w:id="50"/>
    <w:bookmarkStart w:id="51" w:name="author-contributions"/>
    <w:p>
      <w:pPr>
        <w:pStyle w:val="Heading2"/>
      </w:pPr>
      <w:r>
        <w:rPr>
          <w:rFonts w:ascii="Times New Roman" w:hAnsi="Times New Roman"/>
        </w:rPr>
        <w:t xml:space="preserve">AUTHOR CONTRIBUTIONS</w:t>
      </w:r>
    </w:p>
    <w:p>
      <w:pPr>
        <w:pStyle w:val="FirstParagraph"/>
      </w:pPr>
      <w:r>
        <w:rPr>
          <w:rFonts w:ascii="Times New Roman" w:hAnsi="Times New Roman"/>
        </w:rPr>
        <w:t xml:space="preserve">X.Z. conceived the study, developed the methodology, performed all computational analyses, built the web interface, and wrote the manuscript. W.H. provided supervision and critical feedback. Y.L. conceived and supervised the study, provided resources, and revised the manuscript. All authors reviewed and approved the final manuscript.</w:t>
      </w:r>
    </w:p>
    <w:bookmarkEnd w:id="51"/>
    <w:bookmarkStart w:id="52" w:name="funding"/>
    <w:p>
      <w:pPr>
        <w:pStyle w:val="Heading2"/>
      </w:pPr>
      <w:r>
        <w:rPr>
          <w:rFonts w:ascii="Times New Roman" w:hAnsi="Times New Roman"/>
        </w:rPr>
        <w:t xml:space="preserve">FUNDING</w:t>
      </w:r>
    </w:p>
    <w:p>
      <w:pPr>
        <w:pStyle w:val="FirstParagraph"/>
      </w:pPr>
      <w:r>
        <w:rPr>
          <w:rFonts w:ascii="Times New Roman" w:hAnsi="Times New Roman"/>
        </w:rPr>
        <w:t xml:space="preserve">This work was not supported by specific funding.</w:t>
      </w:r>
    </w:p>
    <w:bookmarkEnd w:id="52"/>
    <w:bookmarkStart w:id="53" w:name="conflict-of-interest"/>
    <w:p>
      <w:pPr>
        <w:pStyle w:val="Heading2"/>
      </w:pPr>
      <w:r>
        <w:rPr>
          <w:rFonts w:ascii="Times New Roman" w:hAnsi="Times New Roman"/>
        </w:rPr>
        <w:t xml:space="preserve">CONFLICT OF INTEREST</w:t>
      </w:r>
    </w:p>
    <w:p>
      <w:pPr>
        <w:pStyle w:val="FirstParagraph"/>
      </w:pPr>
      <w:r>
        <w:rPr>
          <w:rFonts w:ascii="Times New Roman" w:hAnsi="Times New Roman"/>
        </w:rPr>
        <w:t xml:space="preserve">None declared.</w:t>
      </w:r>
    </w:p>
    <w:bookmarkEnd w:id="53"/>
    <w:bookmarkStart w:id="54" w:name="acknowledgements"/>
    <w:p>
      <w:pPr>
        <w:pStyle w:val="Heading2"/>
      </w:pPr>
      <w:r>
        <w:rPr>
          <w:rFonts w:ascii="Times New Roman" w:hAnsi="Times New Roman"/>
        </w:rPr>
        <w:t xml:space="preserve">ACKNOWLEDGEMENTS</w:t>
      </w:r>
    </w:p>
    <w:p>
      <w:pPr>
        <w:pStyle w:val="FirstParagraph"/>
      </w:pPr>
      <w:r>
        <w:rPr>
          <w:rFonts w:ascii="Times New Roman" w:hAnsi="Times New Roman"/>
        </w:rPr>
        <w:t xml:space="preserve">The authors thank the developers of SURFY, AlphaFold DB, TCGA, GTEx, DepMap, pyKVFinder, PROPKA, FreeSASA, Human Protein Atlas, Open Targets, Ensembl, UniProt, and FireBrowse for making their data and tools publicly available.</w:t>
      </w:r>
    </w:p>
    <w:bookmarkEnd w:id="54"/>
    <w:bookmarkStart w:id="60" w:name="references"/>
    <w:p>
      <w:pPr>
        <w:pStyle w:val="Heading2"/>
      </w:pPr>
      <w:r>
        <w:rPr>
          <w:rFonts w:ascii="Times New Roman" w:hAnsi="Times New Roman"/>
        </w:rPr>
        <w:t xml:space="preserve">REFERENCES</w:t>
      </w:r>
    </w:p>
    <w:p>
      <w:pPr>
        <w:pStyle w:val="Compact"/>
        <w:numPr>
          <w:ilvl w:val="0"/>
          <w:numId w:val="1002"/>
        </w:numPr>
      </w:pPr>
      <w:r>
        <w:rPr>
          <w:rFonts w:ascii="Times New Roman" w:hAnsi="Times New Roman"/>
        </w:rPr>
        <w:t xml:space="preserve">Sartor O, et al. (2021) Lutetium-177–PSMA-617 for Metastatic Castration-Resistant Prostate Cancer.</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385:1091–1103.</w:t>
      </w:r>
    </w:p>
    <w:p>
      <w:pPr>
        <w:pStyle w:val="Compact"/>
        <w:numPr>
          <w:ilvl w:val="0"/>
          <w:numId w:val="1002"/>
        </w:numPr>
      </w:pPr>
      <w:r>
        <w:rPr>
          <w:rFonts w:ascii="Times New Roman" w:hAnsi="Times New Roman"/>
        </w:rPr>
        <w:t xml:space="preserve">Strosberg J, et al. (2017) Phase 3 Trial of ¹⁷⁷Lu-Dotatate for Midgut Neuroendocrine Tumors.</w:t>
      </w:r>
      <w:r>
        <w:rPr>
          <w:rFonts w:ascii="Times New Roman" w:hAnsi="Times New Roman"/>
        </w:rPr>
        <w:t xml:space="preserve"> </w:t>
      </w:r>
      <w:r>
        <w:rPr>
          <w:rFonts w:ascii="Times New Roman" w:hAnsi="Times New Roman"/>
          <w:i/>
          <w:iCs/>
        </w:rPr>
        <w:t xml:space="preserve">N Engl J Med</w:t>
      </w:r>
      <w:r>
        <w:rPr>
          <w:rFonts w:ascii="Times New Roman" w:hAnsi="Times New Roman"/>
        </w:rPr>
        <w:t xml:space="preserve">, 376:125–135.</w:t>
      </w:r>
    </w:p>
    <w:p>
      <w:pPr>
        <w:pStyle w:val="Compact"/>
        <w:numPr>
          <w:ilvl w:val="0"/>
          <w:numId w:val="1002"/>
        </w:numPr>
      </w:pPr>
      <w:r>
        <w:rPr>
          <w:rFonts w:ascii="Times New Roman" w:hAnsi="Times New Roman"/>
        </w:rPr>
        <w:t xml:space="preserve">Lapi SE, Scott PJH, Scott AM, et al. (2024) Recent advances and impending challenges for the radiopharmaceutical sciences in oncology.</w:t>
      </w:r>
      <w:r>
        <w:rPr>
          <w:rFonts w:ascii="Times New Roman" w:hAnsi="Times New Roman"/>
        </w:rPr>
        <w:t xml:space="preserve"> </w:t>
      </w:r>
      <w:r>
        <w:rPr>
          <w:rFonts w:ascii="Times New Roman" w:hAnsi="Times New Roman"/>
          <w:i/>
          <w:iCs/>
        </w:rPr>
        <w:t xml:space="preserve">Lancet Oncol</w:t>
      </w:r>
      <w:r>
        <w:rPr>
          <w:rFonts w:ascii="Times New Roman" w:hAnsi="Times New Roman"/>
        </w:rPr>
        <w:t xml:space="preserve">, 25:e236–e249.</w:t>
      </w:r>
    </w:p>
    <w:p>
      <w:pPr>
        <w:pStyle w:val="Compact"/>
        <w:numPr>
          <w:ilvl w:val="0"/>
          <w:numId w:val="1002"/>
        </w:numPr>
      </w:pPr>
      <w:r>
        <w:rPr>
          <w:rFonts w:ascii="Times New Roman" w:hAnsi="Times New Roman"/>
        </w:rPr>
        <w:t xml:space="preserve">Jadvar H (2025) Novel Biomarkers in Prostate Cancer Theranostics.</w:t>
      </w:r>
      <w:r>
        <w:rPr>
          <w:rFonts w:ascii="Times New Roman" w:hAnsi="Times New Roman"/>
        </w:rPr>
        <w:t xml:space="preserve"> </w:t>
      </w:r>
      <w:r>
        <w:rPr>
          <w:rFonts w:ascii="Times New Roman" w:hAnsi="Times New Roman"/>
          <w:i/>
          <w:iCs/>
        </w:rPr>
        <w:t xml:space="preserve">World J Nucl Med</w:t>
      </w:r>
      <w:r>
        <w:rPr>
          <w:rFonts w:ascii="Times New Roman" w:hAnsi="Times New Roman"/>
        </w:rPr>
        <w:t xml:space="preserve">, 24:345–358.</w:t>
      </w:r>
    </w:p>
    <w:p>
      <w:pPr>
        <w:pStyle w:val="Compact"/>
        <w:numPr>
          <w:ilvl w:val="0"/>
          <w:numId w:val="1002"/>
        </w:numPr>
      </w:pPr>
      <w:r>
        <w:rPr>
          <w:rFonts w:ascii="Times New Roman" w:hAnsi="Times New Roman"/>
        </w:rPr>
        <w:t xml:space="preserve">Liu Z, et al. (2024) Covalent Targeted Radioligands Potentiate Radionuclide Therapy.</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630:206–213.</w:t>
      </w:r>
    </w:p>
    <w:p>
      <w:pPr>
        <w:pStyle w:val="Compact"/>
        <w:numPr>
          <w:ilvl w:val="0"/>
          <w:numId w:val="1002"/>
        </w:numPr>
      </w:pPr>
      <w:r>
        <w:rPr>
          <w:rFonts w:ascii="Times New Roman" w:hAnsi="Times New Roman"/>
        </w:rPr>
        <w:t xml:space="preserve">Tamura T, et al. (2018) Rapid labelling and covalent inhibition of intracellular native proteins using ligand-directed N-acyl-N-alkyl sulfonamide.</w:t>
      </w:r>
      <w:r>
        <w:rPr>
          <w:rFonts w:ascii="Times New Roman" w:hAnsi="Times New Roman"/>
        </w:rPr>
        <w:t xml:space="preserve"> </w:t>
      </w:r>
      <w:r>
        <w:rPr>
          <w:rFonts w:ascii="Times New Roman" w:hAnsi="Times New Roman"/>
          <w:i/>
          <w:iCs/>
        </w:rPr>
        <w:t xml:space="preserve">Nat Commun</w:t>
      </w:r>
      <w:r>
        <w:rPr>
          <w:rFonts w:ascii="Times New Roman" w:hAnsi="Times New Roman"/>
        </w:rPr>
        <w:t xml:space="preserve">, 9:1870.</w:t>
      </w:r>
    </w:p>
    <w:p>
      <w:pPr>
        <w:pStyle w:val="Compact"/>
        <w:numPr>
          <w:ilvl w:val="0"/>
          <w:numId w:val="1002"/>
        </w:numPr>
      </w:pPr>
      <w:r>
        <w:rPr>
          <w:rFonts w:ascii="Times New Roman" w:hAnsi="Times New Roman"/>
        </w:rPr>
        <w:t xml:space="preserve">Kawano M, et al. (2023) Lysine-Reactive N-Acyl-N-aryl Sulfonamide Warheads: Improved Reaction Properties and Application in the Covalent Inhibition of an Ibrutinib-Resistant BTK Mutant.</w:t>
      </w:r>
      <w:r>
        <w:rPr>
          <w:rFonts w:ascii="Times New Roman" w:hAnsi="Times New Roman"/>
        </w:rPr>
        <w:t xml:space="preserve"> </w:t>
      </w:r>
      <w:r>
        <w:rPr>
          <w:rFonts w:ascii="Times New Roman" w:hAnsi="Times New Roman"/>
          <w:i/>
          <w:iCs/>
        </w:rPr>
        <w:t xml:space="preserve">J Am Chem Soc</w:t>
      </w:r>
      <w:r>
        <w:rPr>
          <w:rFonts w:ascii="Times New Roman" w:hAnsi="Times New Roman"/>
        </w:rPr>
        <w:t xml:space="preserve">, 145:26202–26212.</w:t>
      </w:r>
    </w:p>
    <w:p>
      <w:pPr>
        <w:pStyle w:val="Compact"/>
        <w:numPr>
          <w:ilvl w:val="0"/>
          <w:numId w:val="1002"/>
        </w:numPr>
      </w:pPr>
      <w:r>
        <w:rPr>
          <w:rFonts w:ascii="Times New Roman" w:hAnsi="Times New Roman"/>
        </w:rPr>
        <w:t xml:space="preserve">Tamura T &amp; Hamachi I (2024) N-Acyl-N-alkyl/aryl Sulfonamide Chemistry Assisted by Proximity for Modification and Covalent Inhibition of Endogenous Proteins in Living Systems.</w:t>
      </w:r>
      <w:r>
        <w:rPr>
          <w:rFonts w:ascii="Times New Roman" w:hAnsi="Times New Roman"/>
        </w:rPr>
        <w:t xml:space="preserve"> </w:t>
      </w:r>
      <w:r>
        <w:rPr>
          <w:rFonts w:ascii="Times New Roman" w:hAnsi="Times New Roman"/>
          <w:i/>
          <w:iCs/>
        </w:rPr>
        <w:t xml:space="preserve">Acc Chem Res</w:t>
      </w:r>
      <w:r>
        <w:rPr>
          <w:rFonts w:ascii="Times New Roman" w:hAnsi="Times New Roman"/>
        </w:rPr>
        <w:t xml:space="preserve">, 58:87–100.</w:t>
      </w:r>
    </w:p>
    <w:p>
      <w:pPr>
        <w:pStyle w:val="Compact"/>
        <w:numPr>
          <w:ilvl w:val="0"/>
          <w:numId w:val="1002"/>
        </w:numPr>
      </w:pPr>
      <w:r>
        <w:rPr>
          <w:rFonts w:ascii="Times New Roman" w:hAnsi="Times New Roman"/>
        </w:rPr>
        <w:t xml:space="preserve">Thimaradka S, et al. (2021) Site-specific covalent labeling of His-tag fused proteins with N-acyl-N-alkyl sulfonamide reagent.</w:t>
      </w:r>
      <w:r>
        <w:rPr>
          <w:rFonts w:ascii="Times New Roman" w:hAnsi="Times New Roman"/>
        </w:rPr>
        <w:t xml:space="preserve"> </w:t>
      </w:r>
      <w:r>
        <w:rPr>
          <w:rFonts w:ascii="Times New Roman" w:hAnsi="Times New Roman"/>
          <w:i/>
          <w:iCs/>
        </w:rPr>
        <w:t xml:space="preserve">Bioorg Med Chem</w:t>
      </w:r>
      <w:r>
        <w:rPr>
          <w:rFonts w:ascii="Times New Roman" w:hAnsi="Times New Roman"/>
        </w:rPr>
        <w:t xml:space="preserve">, 30:115947.</w:t>
      </w:r>
    </w:p>
    <w:p>
      <w:pPr>
        <w:pStyle w:val="Compact"/>
        <w:numPr>
          <w:ilvl w:val="0"/>
          <w:numId w:val="1002"/>
        </w:numPr>
      </w:pPr>
      <w:r>
        <w:rPr>
          <w:rFonts w:ascii="Times New Roman" w:hAnsi="Times New Roman"/>
        </w:rPr>
        <w:t xml:space="preserve">Tamura T &amp; Hamachi I (2024) N-Acyl-N-alkyl/aryl Sulfonamide Chemistry Assisted by Proximity for Modification and Covalent Inhibition of Endogenous Proteins in Living Systems.</w:t>
      </w:r>
      <w:r>
        <w:rPr>
          <w:rFonts w:ascii="Times New Roman" w:hAnsi="Times New Roman"/>
        </w:rPr>
        <w:t xml:space="preserve"> </w:t>
      </w:r>
      <w:r>
        <w:rPr>
          <w:rFonts w:ascii="Times New Roman" w:hAnsi="Times New Roman"/>
          <w:i/>
          <w:iCs/>
        </w:rPr>
        <w:t xml:space="preserve">Acc Chem Res</w:t>
      </w:r>
      <w:r>
        <w:rPr>
          <w:rFonts w:ascii="Times New Roman" w:hAnsi="Times New Roman"/>
        </w:rPr>
        <w:t xml:space="preserve">, 58:87–100.</w:t>
      </w:r>
    </w:p>
    <w:p>
      <w:pPr>
        <w:pStyle w:val="Compact"/>
        <w:numPr>
          <w:ilvl w:val="0"/>
          <w:numId w:val="1002"/>
        </w:numPr>
      </w:pPr>
      <w:r>
        <w:rPr>
          <w:rFonts w:ascii="Times New Roman" w:hAnsi="Times New Roman"/>
        </w:rPr>
        <w:t xml:space="preserve">Shraim R, et al. (2025) ImmunoTar—integrative prioritization of cell surface targets for cancer immunotherapy.</w:t>
      </w:r>
      <w:r>
        <w:rPr>
          <w:rFonts w:ascii="Times New Roman" w:hAnsi="Times New Roman"/>
        </w:rPr>
        <w:t xml:space="preserve"> </w:t>
      </w:r>
      <w:r>
        <w:rPr>
          <w:rFonts w:ascii="Times New Roman" w:hAnsi="Times New Roman"/>
          <w:i/>
          <w:iCs/>
        </w:rPr>
        <w:t xml:space="preserve">Bioinformatics</w:t>
      </w:r>
      <w:r>
        <w:rPr>
          <w:rFonts w:ascii="Times New Roman" w:hAnsi="Times New Roman"/>
        </w:rPr>
        <w:t xml:space="preserve">, 41:btaf060.</w:t>
      </w:r>
    </w:p>
    <w:p>
      <w:pPr>
        <w:pStyle w:val="Compact"/>
        <w:numPr>
          <w:ilvl w:val="0"/>
          <w:numId w:val="1002"/>
        </w:numPr>
      </w:pPr>
      <w:r>
        <w:rPr>
          <w:rFonts w:ascii="Times New Roman" w:hAnsi="Times New Roman"/>
        </w:rPr>
        <w:t xml:space="preserve">Hu Z, et al. (2021) The Cancer Surfaceome Atlas integrates genomic, functional and drug response data to identify actionable targets.</w:t>
      </w:r>
      <w:r>
        <w:rPr>
          <w:rFonts w:ascii="Times New Roman" w:hAnsi="Times New Roman"/>
        </w:rPr>
        <w:t xml:space="preserve"> </w:t>
      </w:r>
      <w:r>
        <w:rPr>
          <w:rFonts w:ascii="Times New Roman" w:hAnsi="Times New Roman"/>
          <w:i/>
          <w:iCs/>
        </w:rPr>
        <w:t xml:space="preserve">Nat Cancer</w:t>
      </w:r>
      <w:r>
        <w:rPr>
          <w:rFonts w:ascii="Times New Roman" w:hAnsi="Times New Roman"/>
        </w:rPr>
        <w:t xml:space="preserve">, 2:1406–1422.</w:t>
      </w:r>
    </w:p>
    <w:p>
      <w:pPr>
        <w:pStyle w:val="Compact"/>
        <w:numPr>
          <w:ilvl w:val="0"/>
          <w:numId w:val="1002"/>
        </w:numPr>
      </w:pPr>
      <w:r>
        <w:rPr>
          <w:rFonts w:ascii="Times New Roman" w:hAnsi="Times New Roman"/>
        </w:rPr>
        <w:t xml:space="preserve">Takahashi M, et al. (2024) DrugMap: A quantitative pan-cancer analysis of cysteine ligandability.</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187:2536–2556.</w:t>
      </w:r>
    </w:p>
    <w:p>
      <w:pPr>
        <w:pStyle w:val="Compact"/>
        <w:numPr>
          <w:ilvl w:val="0"/>
          <w:numId w:val="1002"/>
        </w:numPr>
      </w:pPr>
      <w:r>
        <w:rPr>
          <w:rFonts w:ascii="Times New Roman" w:hAnsi="Times New Roman"/>
        </w:rPr>
        <w:t xml:space="preserve">Bausch-Fluck S, et al. (2018) The in silico human surfaceome.</w:t>
      </w:r>
      <w:r>
        <w:rPr>
          <w:rFonts w:ascii="Times New Roman" w:hAnsi="Times New Roman"/>
        </w:rPr>
        <w:t xml:space="preserve"> </w:t>
      </w:r>
      <w:r>
        <w:rPr>
          <w:rFonts w:ascii="Times New Roman" w:hAnsi="Times New Roman"/>
          <w:i/>
          <w:iCs/>
        </w:rPr>
        <w:t xml:space="preserve">Proc Natl Acad Sci USA</w:t>
      </w:r>
      <w:r>
        <w:rPr>
          <w:rFonts w:ascii="Times New Roman" w:hAnsi="Times New Roman"/>
        </w:rPr>
        <w:t xml:space="preserve">, 115:E10988–E10997.</w:t>
      </w:r>
    </w:p>
    <w:p>
      <w:pPr>
        <w:pStyle w:val="Compact"/>
        <w:numPr>
          <w:ilvl w:val="0"/>
          <w:numId w:val="1002"/>
        </w:numPr>
      </w:pPr>
      <w:r>
        <w:rPr>
          <w:rFonts w:ascii="Times New Roman" w:hAnsi="Times New Roman"/>
        </w:rPr>
        <w:t xml:space="preserve">Olsson MHM, et al. (2011) PROPKA3: Consistent Treatment of Internal and Surface Residues in Empirical pKa Predictions.</w:t>
      </w:r>
      <w:r>
        <w:rPr>
          <w:rFonts w:ascii="Times New Roman" w:hAnsi="Times New Roman"/>
        </w:rPr>
        <w:t xml:space="preserve"> </w:t>
      </w:r>
      <w:r>
        <w:rPr>
          <w:rFonts w:ascii="Times New Roman" w:hAnsi="Times New Roman"/>
          <w:i/>
          <w:iCs/>
        </w:rPr>
        <w:t xml:space="preserve">J Chem Theory Comput</w:t>
      </w:r>
      <w:r>
        <w:rPr>
          <w:rFonts w:ascii="Times New Roman" w:hAnsi="Times New Roman"/>
        </w:rPr>
        <w:t xml:space="preserve">, 7:525–537.</w:t>
      </w:r>
    </w:p>
    <w:p>
      <w:pPr>
        <w:pStyle w:val="Compact"/>
        <w:numPr>
          <w:ilvl w:val="0"/>
          <w:numId w:val="1002"/>
        </w:numPr>
      </w:pPr>
      <w:r>
        <w:rPr>
          <w:rFonts w:ascii="Times New Roman" w:hAnsi="Times New Roman"/>
        </w:rPr>
        <w:t xml:space="preserve">Mitternacht S (2016) FreeSASA: An open source C library for solvent accessible surface area calculations.</w:t>
      </w:r>
      <w:r>
        <w:rPr>
          <w:rFonts w:ascii="Times New Roman" w:hAnsi="Times New Roman"/>
        </w:rPr>
        <w:t xml:space="preserve"> </w:t>
      </w:r>
      <w:r>
        <w:rPr>
          <w:rFonts w:ascii="Times New Roman" w:hAnsi="Times New Roman"/>
          <w:i/>
          <w:iCs/>
        </w:rPr>
        <w:t xml:space="preserve">F1000Research</w:t>
      </w:r>
      <w:r>
        <w:rPr>
          <w:rFonts w:ascii="Times New Roman" w:hAnsi="Times New Roman"/>
        </w:rPr>
        <w:t xml:space="preserve">, 5:189.</w:t>
      </w:r>
    </w:p>
    <w:p>
      <w:pPr>
        <w:pStyle w:val="Compact"/>
        <w:numPr>
          <w:ilvl w:val="0"/>
          <w:numId w:val="1002"/>
        </w:numPr>
      </w:pPr>
      <w:r>
        <w:rPr>
          <w:rFonts w:ascii="Times New Roman" w:hAnsi="Times New Roman"/>
        </w:rPr>
        <w:t xml:space="preserve">Jumper J, et al. (2021) Highly accurate protein structure prediction with AlphaFold.</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596:583–589.</w:t>
      </w:r>
    </w:p>
    <w:p>
      <w:pPr>
        <w:pStyle w:val="Compact"/>
        <w:numPr>
          <w:ilvl w:val="0"/>
          <w:numId w:val="1002"/>
        </w:numPr>
      </w:pPr>
      <w:r>
        <w:rPr>
          <w:rFonts w:ascii="Times New Roman" w:hAnsi="Times New Roman"/>
        </w:rPr>
        <w:t xml:space="preserve">Varadi M, et al. (2024) AlphaFold Protein Structure Database in 2024: providing structure coverage for over 214 million protein sequences.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52:D368–D375.</w:t>
      </w:r>
    </w:p>
    <w:p>
      <w:pPr>
        <w:pStyle w:val="Compact"/>
        <w:numPr>
          <w:ilvl w:val="0"/>
          <w:numId w:val="1002"/>
        </w:numPr>
      </w:pPr>
      <w:r>
        <w:rPr>
          <w:rFonts w:ascii="Times New Roman" w:hAnsi="Times New Roman"/>
        </w:rPr>
        <w:t xml:space="preserve">Le Guilloux V, et al. (2009) Fpocket: An open source platform for ligand pocket detection.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10:168.</w:t>
      </w:r>
    </w:p>
    <w:p>
      <w:pPr>
        <w:pStyle w:val="Compact"/>
        <w:numPr>
          <w:ilvl w:val="0"/>
          <w:numId w:val="1002"/>
        </w:numPr>
      </w:pPr>
      <w:r>
        <w:rPr>
          <w:rFonts w:ascii="Times New Roman" w:hAnsi="Times New Roman"/>
        </w:rPr>
        <w:t xml:space="preserve">Guerra JVS, et al. (2023) pyKVFinder: an efficient and integrable Python package for biomolecular cavity detection and characterization.</w:t>
      </w:r>
      <w:r>
        <w:rPr>
          <w:rFonts w:ascii="Times New Roman" w:hAnsi="Times New Roman"/>
        </w:rPr>
        <w:t xml:space="preserve"> </w:t>
      </w:r>
      <w:r>
        <w:rPr>
          <w:rFonts w:ascii="Times New Roman" w:hAnsi="Times New Roman"/>
          <w:i/>
          <w:iCs/>
        </w:rPr>
        <w:t xml:space="preserve">BMC Bioinformatics</w:t>
      </w:r>
      <w:r>
        <w:rPr>
          <w:rFonts w:ascii="Times New Roman" w:hAnsi="Times New Roman"/>
        </w:rPr>
        <w:t xml:space="preserve">, 24:415.</w:t>
      </w:r>
    </w:p>
    <w:p>
      <w:pPr>
        <w:pStyle w:val="Compact"/>
        <w:numPr>
          <w:ilvl w:val="0"/>
          <w:numId w:val="1002"/>
        </w:numPr>
      </w:pPr>
      <w:r>
        <w:rPr>
          <w:rFonts w:ascii="Times New Roman" w:hAnsi="Times New Roman"/>
        </w:rPr>
        <w:t xml:space="preserve">Han Y, et al. (2023) TISCH2: expanded datasets and new tools for single-cell transcriptome analyses of the tumor microenvironment.</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51:D1425–D1431.</w:t>
      </w:r>
    </w:p>
    <w:p>
      <w:pPr>
        <w:pStyle w:val="Compact"/>
        <w:numPr>
          <w:ilvl w:val="0"/>
          <w:numId w:val="1002"/>
        </w:numPr>
      </w:pPr>
      <w:r>
        <w:rPr>
          <w:rFonts w:ascii="Times New Roman" w:hAnsi="Times New Roman"/>
        </w:rPr>
        <w:t xml:space="preserve">Bausch-Fluck S, et al. (2015) A mass spectrometric-derived cell surface protein atlas.</w:t>
      </w:r>
      <w:r>
        <w:rPr>
          <w:rFonts w:ascii="Times New Roman" w:hAnsi="Times New Roman"/>
        </w:rPr>
        <w:t xml:space="preserve"> </w:t>
      </w:r>
      <w:r>
        <w:rPr>
          <w:rFonts w:ascii="Times New Roman" w:hAnsi="Times New Roman"/>
          <w:i/>
          <w:iCs/>
        </w:rPr>
        <w:t xml:space="preserve">PLoS ONE</w:t>
      </w:r>
      <w:r>
        <w:rPr>
          <w:rFonts w:ascii="Times New Roman" w:hAnsi="Times New Roman"/>
        </w:rPr>
        <w:t xml:space="preserve">, 10:e0121314.</w:t>
      </w:r>
    </w:p>
    <w:p>
      <w:pPr>
        <w:pStyle w:val="Compact"/>
        <w:numPr>
          <w:ilvl w:val="0"/>
          <w:numId w:val="1002"/>
        </w:numPr>
      </w:pPr>
      <w:r>
        <w:rPr>
          <w:rFonts w:ascii="Times New Roman" w:hAnsi="Times New Roman"/>
        </w:rPr>
        <w:t xml:space="preserve">Tsherniak A, et al. (2017) Defining a cancer dependency map.</w:t>
      </w:r>
      <w:r>
        <w:rPr>
          <w:rFonts w:ascii="Times New Roman" w:hAnsi="Times New Roman"/>
        </w:rPr>
        <w:t xml:space="preserve"> </w:t>
      </w:r>
      <w:r>
        <w:rPr>
          <w:rFonts w:ascii="Times New Roman" w:hAnsi="Times New Roman"/>
          <w:i/>
          <w:iCs/>
        </w:rPr>
        <w:t xml:space="preserve">Cell</w:t>
      </w:r>
      <w:r>
        <w:rPr>
          <w:rFonts w:ascii="Times New Roman" w:hAnsi="Times New Roman"/>
        </w:rPr>
        <w:t xml:space="preserve">, 170:564–576.</w:t>
      </w:r>
    </w:p>
    <w:p>
      <w:pPr>
        <w:pStyle w:val="Compact"/>
        <w:numPr>
          <w:ilvl w:val="0"/>
          <w:numId w:val="1002"/>
        </w:numPr>
      </w:pPr>
      <w:r>
        <w:rPr>
          <w:rFonts w:ascii="Times New Roman" w:hAnsi="Times New Roman"/>
        </w:rPr>
        <w:t xml:space="preserve">Meyers RM, et al. (2017) Computational correction of copy number effect improves specificity of CRISPR-Cas9 essentiality screens in cancer cells.</w:t>
      </w:r>
      <w:r>
        <w:rPr>
          <w:rFonts w:ascii="Times New Roman" w:hAnsi="Times New Roman"/>
        </w:rPr>
        <w:t xml:space="preserve"> </w:t>
      </w:r>
      <w:r>
        <w:rPr>
          <w:rFonts w:ascii="Times New Roman" w:hAnsi="Times New Roman"/>
          <w:i/>
          <w:iCs/>
        </w:rPr>
        <w:t xml:space="preserve">Nat Genet</w:t>
      </w:r>
      <w:r>
        <w:rPr>
          <w:rFonts w:ascii="Times New Roman" w:hAnsi="Times New Roman"/>
        </w:rPr>
        <w:t xml:space="preserve">, 49:1779–1784.</w:t>
      </w:r>
    </w:p>
    <w:p>
      <w:pPr>
        <w:pStyle w:val="Compact"/>
        <w:numPr>
          <w:ilvl w:val="0"/>
          <w:numId w:val="1002"/>
        </w:numPr>
      </w:pPr>
      <w:r>
        <w:rPr>
          <w:rFonts w:ascii="Times New Roman" w:hAnsi="Times New Roman"/>
        </w:rPr>
        <w:t xml:space="preserve">Dempster JM, et al. (2021) Chronos: a cell population dynamics model of CRISPR experiments that improves inference of gene fitness effects.</w:t>
      </w:r>
      <w:r>
        <w:rPr>
          <w:rFonts w:ascii="Times New Roman" w:hAnsi="Times New Roman"/>
        </w:rPr>
        <w:t xml:space="preserve"> </w:t>
      </w:r>
      <w:r>
        <w:rPr>
          <w:rFonts w:ascii="Times New Roman" w:hAnsi="Times New Roman"/>
          <w:i/>
          <w:iCs/>
        </w:rPr>
        <w:t xml:space="preserve">Genome Biol</w:t>
      </w:r>
      <w:r>
        <w:rPr>
          <w:rFonts w:ascii="Times New Roman" w:hAnsi="Times New Roman"/>
        </w:rPr>
        <w:t xml:space="preserve">, 22:343.</w:t>
      </w:r>
    </w:p>
    <w:p>
      <w:pPr>
        <w:pStyle w:val="Compact"/>
        <w:numPr>
          <w:ilvl w:val="0"/>
          <w:numId w:val="1002"/>
        </w:numPr>
      </w:pPr>
      <w:r>
        <w:rPr>
          <w:rFonts w:ascii="Times New Roman" w:hAnsi="Times New Roman"/>
        </w:rPr>
        <w:t xml:space="preserve">Uhlen M, et al. (2015) Tissue-based map of the human proteome.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347:1260419.</w:t>
      </w:r>
    </w:p>
    <w:p>
      <w:pPr>
        <w:pStyle w:val="Compact"/>
        <w:numPr>
          <w:ilvl w:val="0"/>
          <w:numId w:val="1002"/>
        </w:numPr>
      </w:pPr>
      <w:r>
        <w:rPr>
          <w:rFonts w:ascii="Times New Roman" w:hAnsi="Times New Roman"/>
        </w:rPr>
        <w:t xml:space="preserve">Uhlen M, et al. (2017) A pathology atlas of the human cancer transcriptome.</w:t>
      </w:r>
      <w:r>
        <w:rPr>
          <w:rFonts w:ascii="Times New Roman" w:hAnsi="Times New Roman"/>
        </w:rPr>
        <w:t xml:space="preserve"> </w:t>
      </w:r>
      <w:r>
        <w:rPr>
          <w:rFonts w:ascii="Times New Roman" w:hAnsi="Times New Roman"/>
          <w:i/>
          <w:iCs/>
        </w:rPr>
        <w:t xml:space="preserve">Science</w:t>
      </w:r>
      <w:r>
        <w:rPr>
          <w:rFonts w:ascii="Times New Roman" w:hAnsi="Times New Roman"/>
        </w:rPr>
        <w:t xml:space="preserve">, 357:eaan2507.</w:t>
      </w:r>
    </w:p>
    <w:p>
      <w:pPr>
        <w:pStyle w:val="Compact"/>
        <w:numPr>
          <w:ilvl w:val="0"/>
          <w:numId w:val="1002"/>
        </w:numPr>
      </w:pPr>
      <w:r>
        <w:rPr>
          <w:rFonts w:ascii="Times New Roman" w:hAnsi="Times New Roman"/>
        </w:rPr>
        <w:t xml:space="preserve">Ochoa D, et al. (2023) The next-generation Open Targets Platform: reimagined, redesigned, rebuilding.</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51:D1353–D1359.</w:t>
      </w:r>
    </w:p>
    <w:p>
      <w:pPr>
        <w:pStyle w:val="Compact"/>
        <w:numPr>
          <w:ilvl w:val="0"/>
          <w:numId w:val="1002"/>
        </w:numPr>
      </w:pPr>
      <w:r>
        <w:rPr>
          <w:rFonts w:ascii="Times New Roman" w:hAnsi="Times New Roman"/>
        </w:rPr>
        <w:t xml:space="preserve">Herrero J, et al. (2016) Ensembl comparative genomics resources.</w:t>
      </w:r>
      <w:r>
        <w:rPr>
          <w:rFonts w:ascii="Times New Roman" w:hAnsi="Times New Roman"/>
        </w:rPr>
        <w:t xml:space="preserve"> </w:t>
      </w:r>
      <w:r>
        <w:rPr>
          <w:rFonts w:ascii="Times New Roman" w:hAnsi="Times New Roman"/>
          <w:i/>
          <w:iCs/>
        </w:rPr>
        <w:t xml:space="preserve">Database</w:t>
      </w:r>
      <w:r>
        <w:rPr>
          <w:rFonts w:ascii="Times New Roman" w:hAnsi="Times New Roman"/>
        </w:rPr>
        <w:t xml:space="preserve">, 2016:bav096.</w:t>
      </w:r>
    </w:p>
    <w:p>
      <w:pPr>
        <w:pStyle w:val="Compact"/>
        <w:numPr>
          <w:ilvl w:val="0"/>
          <w:numId w:val="1002"/>
        </w:numPr>
      </w:pPr>
      <w:r>
        <w:rPr>
          <w:rFonts w:ascii="Times New Roman" w:hAnsi="Times New Roman"/>
        </w:rPr>
        <w:t xml:space="preserve">Cerami E, et al. (2012) The cBio Cancer Genomics Portal: an open platform for exploring multidimensional cancer genomics data.</w:t>
      </w:r>
      <w:r>
        <w:rPr>
          <w:rFonts w:ascii="Times New Roman" w:hAnsi="Times New Roman"/>
        </w:rPr>
        <w:t xml:space="preserve"> </w:t>
      </w:r>
      <w:r>
        <w:rPr>
          <w:rFonts w:ascii="Times New Roman" w:hAnsi="Times New Roman"/>
          <w:i/>
          <w:iCs/>
        </w:rPr>
        <w:t xml:space="preserve">Cancer Discov</w:t>
      </w:r>
      <w:r>
        <w:rPr>
          <w:rFonts w:ascii="Times New Roman" w:hAnsi="Times New Roman"/>
        </w:rPr>
        <w:t xml:space="preserve">, 2:401–404.</w:t>
      </w:r>
    </w:p>
    <w:p>
      <w:pPr>
        <w:pStyle w:val="Compact"/>
        <w:numPr>
          <w:ilvl w:val="0"/>
          <w:numId w:val="1002"/>
        </w:numPr>
      </w:pPr>
      <w:r>
        <w:rPr>
          <w:rFonts w:ascii="Times New Roman" w:hAnsi="Times New Roman"/>
        </w:rPr>
        <w:t xml:space="preserve">Gao J, et al. (2013) Integrative analysis of complex cancer genomics and clinical profiles using the cBioPortal.</w:t>
      </w:r>
      <w:r>
        <w:rPr>
          <w:rFonts w:ascii="Times New Roman" w:hAnsi="Times New Roman"/>
        </w:rPr>
        <w:t xml:space="preserve"> </w:t>
      </w:r>
      <w:r>
        <w:rPr>
          <w:rFonts w:ascii="Times New Roman" w:hAnsi="Times New Roman"/>
          <w:i/>
          <w:iCs/>
        </w:rPr>
        <w:t xml:space="preserve">Sci Signal</w:t>
      </w:r>
      <w:r>
        <w:rPr>
          <w:rFonts w:ascii="Times New Roman" w:hAnsi="Times New Roman"/>
        </w:rPr>
        <w:t xml:space="preserve">, 6:pl1.</w:t>
      </w:r>
    </w:p>
    <w:p>
      <w:pPr>
        <w:pStyle w:val="Compact"/>
        <w:numPr>
          <w:ilvl w:val="0"/>
          <w:numId w:val="1002"/>
        </w:numPr>
      </w:pPr>
      <w:r>
        <w:rPr>
          <w:rFonts w:ascii="Times New Roman" w:hAnsi="Times New Roman"/>
        </w:rPr>
        <w:t xml:space="preserve">Szklarczyk D, et al. (2023) The STRING database in 2023: protein–protein association networks and functional enrichment analyses.</w:t>
      </w:r>
      <w:r>
        <w:rPr>
          <w:rFonts w:ascii="Times New Roman" w:hAnsi="Times New Roman"/>
        </w:rPr>
        <w:t xml:space="preserve"> </w:t>
      </w:r>
      <w:r>
        <w:rPr>
          <w:rFonts w:ascii="Times New Roman" w:hAnsi="Times New Roman"/>
          <w:i/>
          <w:iCs/>
        </w:rPr>
        <w:t xml:space="preserve">Nucleic Acids Res</w:t>
      </w:r>
      <w:r>
        <w:rPr>
          <w:rFonts w:ascii="Times New Roman" w:hAnsi="Times New Roman"/>
        </w:rPr>
        <w:t xml:space="preserve">, 51:D638–D646.</w:t>
      </w:r>
    </w:p>
    <w:p>
      <w:pPr>
        <w:pStyle w:val="Compact"/>
        <w:numPr>
          <w:ilvl w:val="0"/>
          <w:numId w:val="1002"/>
        </w:numPr>
      </w:pPr>
      <w:r>
        <w:rPr>
          <w:rFonts w:ascii="Times New Roman" w:hAnsi="Times New Roman"/>
        </w:rPr>
        <w:t xml:space="preserve">Ghandi M, et al. (2019) Next-generation characterization of the Cancer Cell Line Encyclopedia.</w:t>
      </w:r>
      <w:r>
        <w:rPr>
          <w:rFonts w:ascii="Times New Roman" w:hAnsi="Times New Roman"/>
        </w:rPr>
        <w:t xml:space="preserve"> </w:t>
      </w:r>
      <w:r>
        <w:rPr>
          <w:rFonts w:ascii="Times New Roman" w:hAnsi="Times New Roman"/>
          <w:i/>
          <w:iCs/>
        </w:rPr>
        <w:t xml:space="preserve">Nature</w:t>
      </w:r>
      <w:r>
        <w:rPr>
          <w:rFonts w:ascii="Times New Roman" w:hAnsi="Times New Roman"/>
        </w:rPr>
        <w:t xml:space="preserve">, 569:503–508.</w:t>
      </w:r>
    </w:p>
    <w:p>
      <w:pPr>
        <w:pStyle w:val="Compact"/>
        <w:numPr>
          <w:ilvl w:val="0"/>
          <w:numId w:val="1002"/>
        </w:numPr>
      </w:pPr>
      <w:r>
        <w:rPr>
          <w:rFonts w:ascii="Times New Roman" w:hAnsi="Times New Roman"/>
        </w:rPr>
        <w:t xml:space="preserve">Kratochwil C, et al. (2016) ²²⁵Ac-PSMA-617 for PSMA-targeted α-radiation therapy of metastatic castration-resistant prostate cancer.</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57:1941–1944.</w:t>
      </w:r>
    </w:p>
    <w:p>
      <w:pPr>
        <w:pStyle w:val="Compact"/>
        <w:numPr>
          <w:ilvl w:val="0"/>
          <w:numId w:val="1002"/>
        </w:numPr>
      </w:pPr>
      <w:r>
        <w:rPr>
          <w:rFonts w:ascii="Times New Roman" w:hAnsi="Times New Roman"/>
        </w:rPr>
        <w:t xml:space="preserve">Loktev A, et al. (2018) A tumor-imaging method targeting cancer-associated fibroblasts.</w:t>
      </w:r>
      <w:r>
        <w:rPr>
          <w:rFonts w:ascii="Times New Roman" w:hAnsi="Times New Roman"/>
        </w:rPr>
        <w:t xml:space="preserve"> </w:t>
      </w:r>
      <w:r>
        <w:rPr>
          <w:rFonts w:ascii="Times New Roman" w:hAnsi="Times New Roman"/>
          <w:i/>
          <w:iCs/>
        </w:rPr>
        <w:t xml:space="preserve">J Nucl Med</w:t>
      </w:r>
      <w:r>
        <w:rPr>
          <w:rFonts w:ascii="Times New Roman" w:hAnsi="Times New Roman"/>
        </w:rPr>
        <w:t xml:space="preserve">, 59:1423–1429.</w:t>
      </w:r>
    </w:p>
    <w:bookmarkStart w:id="55" w:name="X12d9d62670ffea8b56e14b5c16083d9801cf4ab"/>
    <w:p>
      <w:pPr>
        <w:pStyle w:val="Heading3"/>
      </w:pPr>
      <w:r>
        <w:rPr>
          <w:rFonts w:ascii="Times New Roman" w:hAnsi="Times New Roman"/>
        </w:rPr>
        <w:t xml:space="preserve">Ligandability Upgrade and Geometric Filtering</w:t>
      </w:r>
    </w:p>
    <w:p>
      <w:pPr>
        <w:pStyle w:val="FirstParagraph"/>
      </w:pPr>
      <w:r>
        <w:rPr>
          <w:rFonts w:ascii="Times New Roman" w:hAnsi="Times New Roman"/>
        </w:rPr>
        <w:t xml:space="preserve">To refine pocket detection into a ligandability assessment, we applied a minimum volume threshold of 100 Å³ for classifying pockets as putatively ligandable. This criterion retained 2,159/2,473 proteins (87.3%), providing meaningful discrimination while acknowledging that geometric cavity detection does not guarantee true ligandability. The mean pocket volume was 788 Å³ (median 505 Å³). Top-ranked targets with the ligandability upgrade include MUC1 (volume 15,808 Å³), ABCC5 (12,399 Å³), and ILDR1 (556 Å³).</w:t>
      </w:r>
    </w:p>
    <w:bookmarkEnd w:id="55"/>
    <w:bookmarkStart w:id="59" w:name="benchmarking-and-ablation-analysis"/>
    <w:p>
      <w:pPr>
        <w:pStyle w:val="Heading3"/>
      </w:pPr>
      <w:r>
        <w:rPr>
          <w:rFonts w:ascii="Times New Roman" w:hAnsi="Times New Roman"/>
        </w:rPr>
        <w:t xml:space="preserve">Benchmarking and Ablation Analysis</w:t>
      </w:r>
    </w:p>
    <w:p>
      <w:pPr>
        <w:pStyle w:val="FirstParagraph"/>
      </w:pPr>
      <w:r>
        <w:rPr>
          <w:rFonts w:ascii="Times New Roman" w:hAnsi="Times New Roman"/>
        </w:rPr>
        <w:t xml:space="preserve">Rigorous benchmarking using AUROC against 17 known nuclear medicine targets revealed that expression-based ranking (TSI alone) achieved the strongest performance (AUROC = 0.747, top-1% enrichment = 7.1×). The full integrated model yielded AUROC = 0.621, while LDT chemistry alone performed near random (AUROC = 0.521), confirming that chemical compatibility scoring is designed to complement—not replace—expression data.</w:t>
      </w:r>
    </w:p>
    <w:p>
      <w:pPr>
        <w:pStyle w:val="CaptionedFigure"/>
      </w:pPr>
      <w:r>
        <w:rPr>
          <w:rFonts w:ascii="Times New Roman" w:hAnsi="Times New Roman"/>
        </w:rPr>
        <w:drawing>
          <wp:inline>
            <wp:extent cx="5334000" cy="3247086"/>
            <wp:effectExtent b="0" l="0" r="0" t="0"/>
            <wp:docPr descr="Figure 11: Ablation analysis." title="" id="57" name="Picture"/>
            <a:graphic>
              <a:graphicData uri="http://schemas.openxmlformats.org/drawingml/2006/picture">
                <pic:pic>
                  <pic:nvPicPr>
                    <pic:cNvPr descr="results/figures/figure_ablation.png" id="58" name="Picture"/>
                    <pic:cNvPicPr>
                      <a:picLocks noChangeArrowheads="1" noChangeAspect="1"/>
                    </pic:cNvPicPr>
                  </pic:nvPicPr>
                  <pic:blipFill>
                    <a:blip r:embed="rId56"/>
                    <a:stretch>
                      <a:fillRect/>
                    </a:stretch>
                  </pic:blipFill>
                  <pic:spPr bwMode="auto">
                    <a:xfrm>
                      <a:off x="0" y="0"/>
                      <a:ext cx="5334000" cy="3247086"/>
                    </a:xfrm>
                    <a:prstGeom prst="rect">
                      <a:avLst/>
                    </a:prstGeom>
                    <a:noFill/>
                    <a:ln w="9525">
                      <a:noFill/>
                      <a:headEnd/>
                      <a:tailEnd/>
                    </a:ln>
                  </pic:spPr>
                </pic:pic>
              </a:graphicData>
            </a:graphic>
          </wp:inline>
        </w:drawing>
      </w:r>
    </w:p>
    <w:p>
      <w:pPr>
        <w:pStyle w:val="ImageCaption"/>
      </w:pPr>
      <w:r>
        <w:rPr>
          <w:rFonts w:ascii="Times New Roman" w:hAnsi="Times New Roman"/>
        </w:rPr>
        <w:t xml:space="preserve">Figure 11: Ablation analysis.</w:t>
      </w:r>
    </w:p>
    <w:p>
      <w:pPr>
        <w:pStyle w:val="BodyText"/>
      </w:pPr>
      <w:r>
        <w:rPr>
          <w:rFonts w:ascii="Times New Roman" w:hAnsi="Times New Roman"/>
          <w:b/>
          <w:bCs/>
        </w:rPr>
        <w:t xml:space="preserve">Figure 11. Ablation analysis.</w:t>
      </w:r>
      <w:r>
        <w:rPr>
          <w:rFonts w:ascii="Times New Roman" w:hAnsi="Times New Roman"/>
        </w:rPr>
        <w:t xml:space="preserve"> </w:t>
      </w:r>
      <w:r>
        <w:rPr>
          <w:rFonts w:ascii="Times New Roman" w:hAnsi="Times New Roman"/>
        </w:rPr>
        <w:t xml:space="preserve">AUROC drop when removing each component.</w:t>
      </w:r>
    </w:p>
    <w:p>
      <w:pPr>
        <w:pStyle w:val="BodyText"/>
      </w:pPr>
      <w:r>
        <w:rPr>
          <w:rFonts w:ascii="Times New Roman" w:hAnsi="Times New Roman"/>
        </w:rPr>
        <w:t xml:space="preserve">Ablation analysis demonstrated that removing the TSI component caused the largest performance drop (ΔAUROC = −0.125), confirming expression as the single most important predictor of known targets. Notably, removing the LDT component slightly increased AUROC (from 0.621 to 0.760), a counterintuitive result that reflects the nature of our positive set: historically validated nuclear medicine targets were primarily discovered through expression-based approaches, making LDT chemistry scoring additive noise rather than signal for this particular benchmark. This finding underscores that LDT scoring provides orthogonal value for distinguishing novel targets among expression-equivalent candidates, rather than improving recovery of established targets.</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8" Type="http://schemas.openxmlformats.org/officeDocument/2006/relationships/image" Target="media/rId18.png"/><Relationship Id="rId30" Type="http://schemas.openxmlformats.org/officeDocument/2006/relationships/image" Target="media/rId30.png"/><Relationship Id="rId38" Type="http://schemas.openxmlformats.org/officeDocument/2006/relationships/image" Target="media/rId38.png"/><Relationship Id="rId22" Type="http://schemas.openxmlformats.org/officeDocument/2006/relationships/image" Target="media/rId22.png"/><Relationship Id="rId25" Type="http://schemas.openxmlformats.org/officeDocument/2006/relationships/image" Target="media/rId25.png"/><Relationship Id="rId56" Type="http://schemas.openxmlformats.org/officeDocument/2006/relationships/image" Target="media/rId56.png"/><Relationship Id="rId33" Type="http://schemas.openxmlformats.org/officeDocument/2006/relationships/image" Target="media/rId33.png"/><Relationship Id="rId13" Type="http://schemas.openxmlformats.org/officeDocument/2006/relationships/image" Target="media/rId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2026-06-05T03:25:30Z</dcterms:created>
  <dcterms:modified xsi:type="dcterms:W3CDTF">2026-06-05T03:25:30Z</dcterms:modified>
</cp:coreProperties>
</file>

<file path=docProps/custom.xml><?xml version="1.0" encoding="utf-8"?>
<Properties xmlns="http://schemas.openxmlformats.org/officeDocument/2006/custom-properties" xmlns:vt="http://schemas.openxmlformats.org/officeDocument/2006/docPropsVTypes"/>
</file>