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We are pleased to submit our manuscript entitled</w:t>
      </w:r>
      <w:r>
        <w:t xml:space="preserve"> </w:t>
      </w:r>
      <w:r>
        <w:rPr>
          <w:b/>
          <w:bCs/>
        </w:rPr>
        <w:t xml:space="preserve">“LDT-TargetDB: A Structure-Guided Covalent Radiopharmaceutical Target Database”</w:t>
      </w:r>
      <w:r>
        <w:t xml:space="preserve"> </w:t>
      </w:r>
      <w:r>
        <w:t xml:space="preserve">for consideration in the</w:t>
      </w:r>
      <w:r>
        <w:t xml:space="preserve"> </w:t>
      </w:r>
      <w:r>
        <w:rPr>
          <w:i/>
          <w:iCs/>
        </w:rPr>
        <w:t xml:space="preserve">Nucleic Acids Research</w:t>
      </w:r>
      <w:r>
        <w:t xml:space="preserve"> </w:t>
      </w:r>
      <w:r>
        <w:t xml:space="preserve">Database Issue.</w:t>
      </w:r>
    </w:p>
    <w:p>
      <w:pPr>
        <w:pStyle w:val="BodyText"/>
      </w:pPr>
      <w:r>
        <w:rPr>
          <w:b/>
          <w:bCs/>
        </w:rPr>
        <w:t xml:space="preserve">Significance and Innovation</w:t>
      </w:r>
    </w:p>
    <w:p>
      <w:pPr>
        <w:pStyle w:val="BodyText"/>
      </w:pPr>
      <w:r>
        <w:t xml:space="preserve">Target selection is the critical bottleneck in covalent radiopharmaceutical development. Currently, only a handful of surface targets (PSMA, SSTR2, FAP) are clinically exploited, and no computational resource systematically evaluates targets through the lens of covalent chemistry. We present LDT-TargetDB (https://ldt-targetdb.streamlit.app), the first database specifically designed for covalent radiopharmaceutical target discovery.</w:t>
      </w:r>
    </w:p>
    <w:p>
      <w:pPr>
        <w:pStyle w:val="BodyText"/>
      </w:pPr>
      <w:r>
        <w:t xml:space="preserve">Our key innovations include:</w:t>
      </w:r>
    </w:p>
    <w:p>
      <w:pPr>
        <w:numPr>
          <w:ilvl w:val="0"/>
          <w:numId w:val="1001"/>
        </w:numPr>
      </w:pPr>
      <w:r>
        <w:rPr>
          <w:b/>
          <w:bCs/>
        </w:rPr>
        <w:t xml:space="preserve">First covalent chemistry-aware surface target database.</w:t>
      </w:r>
      <w:r>
        <w:t xml:space="preserve"> </w:t>
      </w:r>
      <w:r>
        <w:t xml:space="preserve">Unlike existing tools (ImmunoTar, TCSA, DrugMap) designed for immunotherapy or general cysteine profiling, LDT-TargetDB uniquely integrates 3D binding pocket analysis (pyKVFinder), experimental pKa prediction (PROPKA), and solvent accessibility quantification (FreeSASA) to score targets by their compatibility with ligand-directed transfer (LDT/NAS) chemistry.</w:t>
      </w:r>
    </w:p>
    <w:p>
      <w:pPr>
        <w:numPr>
          <w:ilvl w:val="0"/>
          <w:numId w:val="1001"/>
        </w:numPr>
      </w:pPr>
      <w:r>
        <w:rPr>
          <w:b/>
          <w:bCs/>
        </w:rPr>
        <w:t xml:space="preserve">Multi-layered integration.</w:t>
      </w:r>
      <w:r>
        <w:t xml:space="preserve"> </w:t>
      </w:r>
      <w:r>
        <w:t xml:space="preserve">We combined five data layers — surface proteome, transcriptome, structural biology, covalent chemistry, and functional genomics — to score 2,473 surface proteins, of which 2,378 (96.2%) harbor LDT-suitable nucleophilic residues.</w:t>
      </w:r>
    </w:p>
    <w:p>
      <w:pPr>
        <w:numPr>
          <w:ilvl w:val="0"/>
          <w:numId w:val="1001"/>
        </w:numPr>
      </w:pPr>
      <w:r>
        <w:rPr>
          <w:b/>
          <w:bCs/>
        </w:rPr>
        <w:t xml:space="preserve">Comprehensive validation.</w:t>
      </w:r>
      <w:r>
        <w:t xml:space="preserve"> </w:t>
      </w:r>
      <w:r>
        <w:t xml:space="preserve">Targets were validated against 17 known nuclear medicine targets, DepMap essentiality, Human Protein Atlas tissue expression, Open Targets disease associations, cross-species conservation, and TCGA mutation frequency.</w:t>
      </w:r>
    </w:p>
    <w:p>
      <w:pPr>
        <w:numPr>
          <w:ilvl w:val="0"/>
          <w:numId w:val="1001"/>
        </w:numPr>
      </w:pPr>
      <w:r>
        <w:rPr>
          <w:b/>
          <w:bCs/>
        </w:rPr>
        <w:t xml:space="preserve">Interactive web interface.</w:t>
      </w:r>
      <w:r>
        <w:t xml:space="preserve"> </w:t>
      </w:r>
      <w:r>
        <w:t xml:space="preserve">Users can filter, visualize, and download results with real-time updates (Streamlit, freely accessible).</w:t>
      </w:r>
    </w:p>
    <w:p>
      <w:pPr>
        <w:numPr>
          <w:ilvl w:val="0"/>
          <w:numId w:val="1001"/>
        </w:numPr>
      </w:pPr>
      <w:r>
        <w:rPr>
          <w:b/>
          <w:bCs/>
        </w:rPr>
        <w:t xml:space="preserve">Feature advantage.</w:t>
      </w:r>
      <w:r>
        <w:t xml:space="preserve"> </w:t>
      </w:r>
      <w:r>
        <w:t xml:space="preserve">LDT-TargetDB implements 19/20 evaluated features, substantially exceeding DrugMap (11/20), ImmunoTar (9/20), and TCSA (8/20).</w:t>
      </w:r>
    </w:p>
    <w:p>
      <w:pPr>
        <w:pStyle w:val="FirstParagraph"/>
      </w:pPr>
      <w:r>
        <w:rPr>
          <w:b/>
          <w:bCs/>
        </w:rPr>
        <w:t xml:space="preserve">Fit for NAR Database Issue</w:t>
      </w:r>
    </w:p>
    <w:p>
      <w:pPr>
        <w:pStyle w:val="BodyText"/>
      </w:pPr>
      <w:r>
        <w:t xml:space="preserve">LDT-TargetDB fills a recognized gap at the interface of chemical biology, structural bioinformatics, and nuclear medicine. It aligns with NAR’s mission of providing valuable database resources to the research community. The database is freely accessible with no login requirement, and all source code is open-source (MIT license).</w:t>
      </w:r>
    </w:p>
    <w:p>
      <w:pPr>
        <w:pStyle w:val="BodyText"/>
      </w:pPr>
      <w:r>
        <w:rPr>
          <w:b/>
          <w:bCs/>
        </w:rPr>
        <w:t xml:space="preserve">Author Information</w:t>
      </w:r>
    </w:p>
    <w:p>
      <w:pPr>
        <w:pStyle w:val="BodyText"/>
      </w:pPr>
      <w:r>
        <w:t xml:space="preserve">Corresponding Author: Prof. Yiliang Li, Institute of Radiation Medicine, Chinese Academy of Medical Sciences &amp; Peking Union Medical College, Tianjin 300192, China. Email: liyiliang@irm-cams.ac.cn.</w:t>
      </w:r>
    </w:p>
    <w:p>
      <w:pPr>
        <w:pStyle w:val="BodyText"/>
      </w:pPr>
      <w:r>
        <w:rPr>
          <w:b/>
          <w:bCs/>
        </w:rPr>
        <w:t xml:space="preserve">Potential Referees</w:t>
      </w:r>
    </w:p>
    <w:p>
      <w:pPr>
        <w:pStyle w:val="BodyText"/>
      </w:pPr>
      <w:r>
        <w:t xml:space="preserve">We have identified six potential referees with relevant expertise in bioinformatics, structural biology, and database development (submitted separately through the system).</w:t>
      </w:r>
    </w:p>
    <w:p>
      <w:pPr>
        <w:pStyle w:val="BodyText"/>
      </w:pPr>
      <w:r>
        <w:t xml:space="preserve">We confirm that this manuscript has not been published or submitted elsewhere. All authors have approved the submission.</w:t>
      </w:r>
    </w:p>
    <w:p>
      <w:pPr>
        <w:pStyle w:val="BodyText"/>
      </w:pPr>
      <w:r>
        <w:t xml:space="preserve">Thank you for your consideration.</w:t>
      </w:r>
    </w:p>
    <w:p>
      <w:pPr>
        <w:pStyle w:val="BodyText"/>
      </w:pPr>
      <w:r>
        <w:t xml:space="preserve">Sincerely,</w:t>
      </w:r>
      <w:r>
        <w:t xml:space="preserve"> </w:t>
      </w:r>
      <w:r>
        <w:t xml:space="preserve">Xinglong Zhou, Wenbin Hou, Yiliang Li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2026-05-22T12:12:31Z</dcterms:created>
  <dcterms:modified xsi:type="dcterms:W3CDTF">2026-05-22T12:12:31Z</dcterms:modified>
</cp:coreProperties>
</file>

<file path=docProps/custom.xml><?xml version="1.0" encoding="utf-8"?>
<Properties xmlns="http://schemas.openxmlformats.org/officeDocument/2006/custom-properties" xmlns:vt="http://schemas.openxmlformats.org/officeDocument/2006/docPropsVTypes"/>
</file>