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cbb36fcce3dc6ce754719fce7e4423754fb5efb"/>
    <w:p>
      <w:pPr>
        <w:pStyle w:val="Heading1"/>
      </w:pPr>
      <w:r>
        <w:rPr>
          <w:rFonts w:ascii="Times New Roman" w:hAnsi="Times New Roman"/>
        </w:rPr>
        <w:t xml:space="preserve">LDT-TargetDB: Systematic Prioritization of Extracellular Surface Targets for Covalent Radiopharmaceutical Development</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target prioritization, structural chemoproteomics</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a computational framework for systematic identification and prioritization of extracellular surface protein targets amenable to covalent radiopharmaceutical development using ligand-directed transfer (LDT) chemistry. This framework integrates five data layers—surface proteome annotation (SURFY, 2,799 proteins), pan-cancer expression profiling (TCGA 32 cancer types, GTEx 30 tissues), extracellular accessibility filtering (UniProt topology), 3D structural pocket analysis (AlphaFold + pyKVFinder), and covalent chemistry scoring (empirical pKa prediction via PROPKA, solvent accessibility via FreeSASA)—to systematically rank 2,473 surface proteins. We benchmarked the framework against 17 known nuclear medicine targets, demonstrating that integrating structural covariates with expression data achieves 7.14-fold enrichment of known targets in the top 1% of predictions. Multi-dimensional validation—including normal tissue risk scoring (HPA IHC across critical organs), DepMap essentiality analysis, Open Targets disease associations, cross-species conservation, TCGA mutation stability, and binder tractability assessment—confirmed the biological and translational relevance of top-ranked targets. The top five prioritized targets include MUC1, ILDR1, LY75, ABCC4, and CDH1, all with confirmed extracellular pocket accessibility. An interactive web interface provides real-time filtering, cancer-type-specific ranking across 32 cancer types, and downloadable results. LDT-TargetDB fills a critical gap at the interface of chemical biology, structural bioinformatics, and nuclear medicine by providing the first systematic framework for covalent radiopharmaceutical target prioritization.</w:t>
      </w:r>
    </w:p>
    <w:bookmarkEnd w:id="9"/>
    <w:bookmarkStart w:id="10"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[1,2,34]. Despite this success, only a handful of surface targets are clinically exploited—primarily PSMA, SSTR2, and FAP [4,35]—creating a critical bottleneck for expanding RLT to additional cancer types.</w:t>
      </w:r>
    </w:p>
    <w:p>
      <w:pPr>
        <w:pStyle w:val="BodyText"/>
      </w:pPr>
      <w:r>
        <w:rPr>
          <w:rFonts w:ascii="Times New Roman" w:hAnsi="Times New Roman"/>
        </w:rPr>
        <w:t xml:space="preserve">Covalent radiopharmaceuticals represent a promising strategy for improving tumor retention. Liu and colleagues demonstrated that covalent targeted radioligands (CTRs) employing sulfur(VI) fluoride exchange (SuFEx) chemistry achieve ~13-fold improvement in tumor retention [5]. In parallel, ligand-directed transfer (LDT) chemistry offers a complementary covalent strategy: N-acyl-N-alkyl/aryl sulfonamide (NASA/ArNASA) warheads exploit proximity-driven effective molarity enhancement to achieve traceless covalent labeling, preferentially targeting lysine ε-amino groups [6–8]. LDT probes release their targeting ligand after covalent transfer, potentially reducing persistent ligand occupancy—a feature attractive for radiopharmaceutical applications where receptor-mediated internalization is critical.</w:t>
      </w:r>
    </w:p>
    <w:p>
      <w:pPr>
        <w:pStyle w:val="BodyText"/>
      </w:pPr>
      <w:r>
        <w:rPr>
          <w:rFonts w:ascii="Times New Roman" w:hAnsi="Times New Roman"/>
        </w:rPr>
        <w:t xml:space="preserve">Target selection for covalent radiopharmaceuticals demands considerations beyond expression level. The structural compatibility between the covalent warhead and the target protein—specifically, the presence of nucleophilic residues (Lys, Cys, Tyr, Ser) within extracellular-accessible, ligandable pockets—determines whether proximity-driven chemistry can proceed. LDT chemistry constrains residue preference: lysine forms stable amide adducts, whereas cysteine, tyrosine, and serine form hydrolytically labile thioester, phenol ester, and alkyl ester linkages [9,10]. Histidine is non-reactive with NASA warheads [10]. Critically, for radiopharmaceutical applications, the reactive pocket must be positioned on the extracellular face of the target protein to be accessible to circulating probes.</w:t>
      </w:r>
    </w:p>
    <w:p>
      <w:pPr>
        <w:pStyle w:val="BodyText"/>
      </w:pPr>
      <w:r>
        <w:rPr>
          <w:rFonts w:ascii="Times New Roman" w:hAnsi="Times New Roman"/>
        </w:rPr>
        <w:t xml:space="preserve">Existing computational tools for surface-target discovery—ImmunoTar [11], TCSA [12], and DrugMap [13]—are designed for immunotherapy (CAR-T, ADC) or general cysteine profiling. None incorporate 3D pocket analysis, extracellular accessibility filtering, or covalent chemistry scoring. This gap motivated the development of LDT-TargetDB, the first computational framework that systematically evaluates surface protein targets through the lens of covalent warhead chemistry while requiring extracellular pocket accessibility. The overall pipeline is illustrated in Figure 1.</w:t>
      </w:r>
    </w:p>
    <w:bookmarkEnd w:id="10"/>
    <w:bookmarkStart w:id="16" w:name="methods"/>
    <w:p>
      <w:pPr>
        <w:pStyle w:val="Heading2"/>
      </w:pPr>
      <w:r>
        <w:rPr>
          <w:rFonts w:ascii="Times New Roman" w:hAnsi="Times New Roman"/>
        </w:rPr>
        <w:t xml:space="preserve">METHODS</w:t>
      </w:r>
    </w:p>
    <w:bookmarkStart w:id="11" w:name="X281a8916fccccec01be32b20319d277972af43a"/>
    <w:p>
      <w:pPr>
        <w:pStyle w:val="Heading3"/>
      </w:pPr>
      <w:r>
        <w:rPr>
          <w:rFonts w:ascii="Times New Roman" w:hAnsi="Times New Roman"/>
        </w:rPr>
        <w:t xml:space="preserve">Construction of the Extracellular Surface Target Universe</w:t>
      </w:r>
    </w:p>
    <w:p>
      <w:pPr>
        <w:pStyle w:val="FirstParagraph"/>
      </w:pPr>
      <w:r>
        <w:rPr>
          <w:rFonts w:ascii="Times New Roman" w:hAnsi="Times New Roman"/>
        </w:rPr>
        <w:t xml:space="preserve">The primary surface protein set was derived from the SURFY in silico human surfaceome [14,22] (2,886 proteins, 93.5% accuracy). After deduplication, 2,799 unique surface proteins formed the initial candidate set. Pan-cancer RNA-seq data (TCGA, 32 cancer types, 10,535 samples including 9,186 primary tumors) and normal tissue RNA-seq data (GTEx, 30 tissues, 7,862 samples) were obtained from UCSC Xena. A Tumor Specificity Index (TSI) was calculated for each surface gene as</w:t>
      </w:r>
      <w:r>
        <w:rPr>
          <w:rFonts w:ascii="Times New Roman" w:hAnsi="Times New Roman"/>
        </w:rPr>
        <w:t xml:space="preserve"> </w:t>
      </w:r>
      <m:oMath>
        <m:r>
          <m:t>T</m:t>
        </m:r>
        <m:r>
          <m:t>S</m:t>
        </m:r>
        <m:r>
          <m:t>I</m:t>
        </m:r>
        <m:r>
          <m:rPr>
            <m:sty m:val="p"/>
          </m:rPr>
          <m:t>=</m:t>
        </m:r>
        <m:r>
          <m:t>F</m:t>
        </m:r>
        <m:sSub>
          <m:e>
            <m:r>
              <m:t>C</m:t>
            </m:r>
          </m:e>
          <m:sub>
            <m:r>
              <m:t>l</m:t>
            </m:r>
            <m:r>
              <m:t>o</m:t>
            </m:r>
            <m:r>
              <m:t>g</m:t>
            </m:r>
            <m:r>
              <m:t>2</m:t>
            </m:r>
          </m:sub>
        </m:sSub>
        <m:r>
          <m:rPr>
            <m:sty m:val="p"/>
          </m:rPr>
          <m:t>×</m:t>
        </m:r>
        <m:sSub>
          <m:e>
            <m:r>
              <m:t>P</m:t>
            </m:r>
          </m:e>
          <m:sub>
            <m:r>
              <m:t>t</m:t>
            </m:r>
            <m:r>
              <m:t>u</m:t>
            </m:r>
            <m:r>
              <m:t>m</m:t>
            </m:r>
            <m:r>
              <m:t>o</m:t>
            </m:r>
            <m:r>
              <m:t>r</m:t>
            </m:r>
          </m:sub>
        </m:sSub>
        <m:r>
          <m:rPr>
            <m:sty m:val="p"/>
          </m:rPr>
          <m:t>/</m:t>
        </m:r>
        <m:rad>
          <m:radPr>
            <m:degHide m:val="on"/>
          </m:radPr>
          <m:deg/>
          <m:e>
            <m:sSub>
              <m:e>
                <m:r>
                  <m:t>N</m:t>
                </m:r>
              </m:e>
              <m:sub>
                <m:r>
                  <m:t>n</m:t>
                </m:r>
                <m:r>
                  <m:t>o</m:t>
                </m:r>
                <m:r>
                  <m:t>r</m:t>
                </m:r>
                <m:r>
                  <m:t>m</m:t>
                </m:r>
                <m:r>
                  <m:t>a</m:t>
                </m:r>
                <m:r>
                  <m:t>l</m:t>
                </m:r>
              </m:sub>
            </m:sSub>
            <m:r>
              <m:rPr>
                <m:sty m:val="p"/>
              </m:rPr>
              <m:t>+</m:t>
            </m:r>
            <m:r>
              <m:t>1</m:t>
            </m:r>
          </m:e>
        </m:rad>
      </m:oMath>
      <w:r>
        <w:rPr>
          <w:rFonts w:ascii="Times New Roman" w:hAnsi="Times New Roman"/>
        </w:rPr>
        <w:t xml:space="preserve">, 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w:t>
      </w:r>
    </w:p>
    <w:bookmarkEnd w:id="11"/>
    <w:bookmarkStart w:id="12" w:name="extracellular-accessibility-filtering"/>
    <w:p>
      <w:pPr>
        <w:pStyle w:val="Heading3"/>
      </w:pPr>
      <w:r>
        <w:rPr>
          <w:rFonts w:ascii="Times New Roman" w:hAnsi="Times New Roman"/>
        </w:rPr>
        <w:t xml:space="preserve">Extracellular Accessibility Filtering</w:t>
      </w:r>
    </w:p>
    <w:p>
      <w:pPr>
        <w:pStyle w:val="FirstParagraph"/>
      </w:pPr>
      <w:r>
        <w:rPr>
          <w:rFonts w:ascii="Times New Roman" w:hAnsi="Times New Roman"/>
        </w:rPr>
        <w:t xml:space="preserve">To ensure that detected pockets are accessible to circulating radiopharmaceutical probes, we retrieved topological domain annotations for the top 200 ranked proteins from UniProt (fields:</w:t>
      </w:r>
      <w:r>
        <w:rPr>
          <w:rFonts w:ascii="Times New Roman" w:hAnsi="Times New Roman"/>
        </w:rPr>
        <w:t xml:space="preserve"> </w:t>
      </w:r>
      <w:r>
        <w:rPr>
          <w:rStyle w:val="VerbatimChar"/>
          <w:rFonts w:ascii="Times New Roman" w:hAnsi="Times New Roman"/>
        </w:rPr>
        <w:t xml:space="preserve">ft_topo_dom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ft_transmem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ft_signal</w:t>
      </w:r>
      <w:r>
        <w:rPr>
          <w:rFonts w:ascii="Times New Roman" w:hAnsi="Times New Roman"/>
        </w:rPr>
        <w:t xml:space="preserve">). Proteins were assigned an Extracellular Accessibility Score (EAS) based on the presence of annotated extracellular topological domains. Proteins with confirmed extracellular domains received EAS = 1.0; those without UniProt topology data but with SURFY surface prediction received EAS = 0.7 (reflecting the SURFY classifier’s demonstrated ability to identify bona fide surface proteins); proteins with only transmembrane or cytoplasmic annotations received lower scores. The overall extracellular domain confirmation rate was 78.5% (157/200 top targets).</w:t>
      </w:r>
    </w:p>
    <w:bookmarkEnd w:id="12"/>
    <w:bookmarkStart w:id="13" w:name="X0078b42f26f7eb11b0408afb4dedad7edca3c9c"/>
    <w:p>
      <w:pPr>
        <w:pStyle w:val="Heading3"/>
      </w:pPr>
      <w:r>
        <w:rPr>
          <w:rFonts w:ascii="Times New Roman" w:hAnsi="Times New Roman"/>
        </w:rPr>
        <w:t xml:space="preserve">Structural Pocket Analysis and Covalent Chemistry Scoring</w:t>
      </w:r>
    </w:p>
    <w:p>
      <w:pPr>
        <w:pStyle w:val="FirstParagraph"/>
      </w:pPr>
      <w:r>
        <w:rPr>
          <w:rFonts w:ascii="Times New Roman" w:hAnsi="Times New Roman"/>
        </w:rPr>
        <w:t xml:space="preserve">AlphaFold-predicted protein structures (v6, downloaded November 2024; UniProt release 2024_04) [17,18] were obtained for all surface proteins with TSI &gt; −0.01 (2,490 proteins). Binding pocket detection was performed using pyKVFinder [19,20] with grid-based cavity detection (step = 0.8 Å, probe_in = 1.4 Å, probe_out = 4.0 Å, volume cutoff = 5.0 Å³). For each detected pocket, nucleophilic residues (Lys, Cys, Tyr, Ser) were scored based on three components:</w:t>
      </w:r>
    </w:p>
    <w:p>
      <w:pPr>
        <w:numPr>
          <w:ilvl w:val="0"/>
          <w:numId w:val="1001"/>
        </w:numPr>
      </w:pPr>
      <w:r>
        <w:rPr>
          <w:rFonts w:ascii="Times New Roman" w:hAnsi="Times New Roman"/>
          <w:b/>
          <w:bCs/>
        </w:rPr>
        <w:t xml:space="preserve">Residue type weight (</w:t>
      </w:r>
      <m:oMath>
        <m:r>
          <m:t>w</m:t>
        </m:r>
      </m:oMath>
      <w:r>
        <w:rPr>
          <w:rFonts w:ascii="Times New Roman" w:hAnsi="Times New Roman"/>
          <w:b/>
          <w:bCs/>
        </w:rPr>
        <w:t xml:space="preserve">):</w:t>
      </w:r>
      <w:r>
        <w:rPr>
          <w:rFonts w:ascii="Times New Roman" w:hAnsi="Times New Roman"/>
        </w:rPr>
        <w:t xml:space="preserve"> </w:t>
      </w:r>
      <w:r>
        <w:rPr>
          <w:rFonts w:ascii="Times New Roman" w:hAnsi="Times New Roman"/>
        </w:rPr>
        <w:t xml:space="preserve">Lys = 1.0 (stable amide), Cys = 0.3 (labile thioester), Tyr = 0.2 (labile phenol ester), Ser = 0.1 (labile alkyl ester). Histidine was excluded [10]. The ArNASA variant [7] provides improved stability.</w:t>
      </w:r>
    </w:p>
    <w:p>
      <w:pPr>
        <w:numPr>
          <w:ilvl w:val="0"/>
          <w:numId w:val="1001"/>
        </w:numPr>
      </w:pPr>
      <w:r>
        <w:rPr>
          <w:rFonts w:ascii="Times New Roman" w:hAnsi="Times New Roman"/>
          <w:b/>
          <w:bCs/>
        </w:rPr>
        <w:t xml:space="preserve">pKa reactivity score (</w:t>
      </w:r>
      <m:oMath>
        <m:sSub>
          <m:e>
            <m:r>
              <m:t>p</m:t>
            </m:r>
          </m:e>
          <m:sub>
            <m:r>
              <m:t>s</m:t>
            </m:r>
          </m:sub>
        </m:sSub>
      </m:oMath>
      <w:r>
        <w:rPr>
          <w:rFonts w:ascii="Times New Roman" w:hAnsi="Times New Roman"/>
          <w:b/>
          <w:bCs/>
        </w:rPr>
        <w:t xml:space="preserve">):</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empirically predicted using PROPKA 3.5 [15].</w:t>
      </w:r>
    </w:p>
    <w:p>
      <w:pPr>
        <w:numPr>
          <w:ilvl w:val="0"/>
          <w:numId w:val="1001"/>
        </w:numPr>
      </w:pPr>
      <w:r>
        <w:rPr>
          <w:rFonts w:ascii="Times New Roman" w:hAnsi="Times New Roman"/>
          <w:b/>
          <w:bCs/>
        </w:rPr>
        <w:t xml:space="preserve">Solvent accessibility score (</w:t>
      </w:r>
      <m:oMath>
        <m:sSub>
          <m:e>
            <m:r>
              <m:t>s</m:t>
            </m:r>
          </m:e>
          <m:sub>
            <m:r>
              <m:t>s</m:t>
            </m:r>
          </m:sub>
        </m:sSub>
      </m:oMath>
      <w:r>
        <w:rPr>
          <w:rFonts w:ascii="Times New Roman" w:hAnsi="Times New Roman"/>
          <w:b/>
          <w:bCs/>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calculated using FreeSASA [16].</w:t>
      </w:r>
    </w:p>
    <w:p>
      <w:pPr>
        <w:numPr>
          <w:ilvl w:val="0"/>
          <w:numId w:val="1001"/>
        </w:numPr>
      </w:pPr>
      <w:r>
        <w:rPr>
          <w:rFonts w:ascii="Times New Roman" w:hAnsi="Times New Roman"/>
          <w:b/>
          <w:bCs/>
        </w:rPr>
        <w:t xml:space="preserve">Proximity boost (</w:t>
      </w:r>
      <m:oMath>
        <m:r>
          <m:t>b</m:t>
        </m:r>
      </m:oMath>
      <w:r>
        <w:rPr>
          <w:rFonts w:ascii="Times New Roman" w:hAnsi="Times New Roman"/>
          <w:b/>
          <w:bCs/>
        </w:rPr>
        <w:t xml:space="preserve">):</w:t>
      </w:r>
      <w:r>
        <w:rPr>
          <w:rFonts w:ascii="Times New Roman" w:hAnsi="Times New Roman"/>
        </w:rPr>
        <w:t xml:space="preserve"> </w:t>
      </w:r>
      <w:r>
        <w:rPr>
          <w:rFonts w:ascii="Times New Roman" w:hAnsi="Times New Roman"/>
        </w:rPr>
        <w:t xml:space="preserve">Lys receives a 2× factor reflecting the effective molarity enhancement (~10⁶-fold) in LDT chemistry [6].</w:t>
      </w:r>
    </w:p>
    <w:p>
      <w:pPr>
        <w:pStyle w:val="FirstParagraph"/>
      </w:pPr>
      <w:r>
        <w:rPr>
          <w:rFonts w:ascii="Times New Roman" w:hAnsi="Times New Roman"/>
        </w:rPr>
        <w:t xml:space="preserve">The LDT Transferability Score was defined as</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each pocket. Structure quality was assessed via per-residue pLDDT scores.</w:t>
      </w:r>
    </w:p>
    <w:bookmarkEnd w:id="13"/>
    <w:bookmarkStart w:id="14" w:name="X136606b246285010f71e86bd41763a635eaf4e1"/>
    <w:p>
      <w:pPr>
        <w:pStyle w:val="Heading3"/>
      </w:pPr>
      <w:r>
        <w:rPr>
          <w:rFonts w:ascii="Times New Roman" w:hAnsi="Times New Roman"/>
        </w:rPr>
        <w:t xml:space="preserve">Composite Scoring and Multi-Dimensional Validation</w:t>
      </w:r>
    </w:p>
    <w:p>
      <w:pPr>
        <w:pStyle w:val="FirstParagraph"/>
      </w:pPr>
      <w:r>
        <w:rPr>
          <w:rFonts w:ascii="Times New Roman" w:hAnsi="Times New Roman"/>
        </w:rPr>
        <w:t xml:space="preserve">An enhanced composite score integrates multiple dimensions:</w:t>
      </w:r>
      <w:r>
        <w:rPr>
          <w:rFonts w:ascii="Times New Roman" w:hAnsi="Times New Roman"/>
        </w:rPr>
        <w:t xml:space="preserve"> </w:t>
      </w:r>
      <m:oMath>
        <m:r>
          <m:t>S</m:t>
        </m:r>
        <m:r>
          <m:rPr>
            <m:sty m:val="p"/>
          </m:rPr>
          <m:t>=</m:t>
        </m:r>
        <m:r>
          <m:t>0.25</m:t>
        </m:r>
        <m:r>
          <m:rPr>
            <m:sty m:val="p"/>
          </m:rPr>
          <m:t>×</m:t>
        </m:r>
        <m:r>
          <m:t>T</m:t>
        </m:r>
        <m:r>
          <m:t>S</m:t>
        </m:r>
        <m:r>
          <m:t>I</m:t>
        </m:r>
        <m:r>
          <m:rPr>
            <m:sty m:val="p"/>
          </m:rPr>
          <m:t>+</m:t>
        </m:r>
        <m:r>
          <m:t>0.20</m:t>
        </m:r>
        <m:r>
          <m:rPr>
            <m:sty m:val="p"/>
          </m:rPr>
          <m:t>×</m:t>
        </m:r>
        <m:sSub>
          <m:e>
            <m:r>
              <m:t>V</m:t>
            </m:r>
          </m:e>
          <m:sub>
            <m:r>
              <m:t>p</m:t>
            </m:r>
            <m:r>
              <m:t>o</m:t>
            </m:r>
            <m:r>
              <m:t>c</m:t>
            </m:r>
            <m:r>
              <m:t>k</m:t>
            </m:r>
            <m:r>
              <m:t>e</m:t>
            </m:r>
            <m:r>
              <m:t>t</m:t>
            </m:r>
          </m:sub>
        </m:sSub>
        <m:r>
          <m:rPr>
            <m:sty m:val="p"/>
          </m:rPr>
          <m:t>+</m:t>
        </m:r>
        <m:r>
          <m:t>0.20</m:t>
        </m:r>
        <m:r>
          <m:rPr>
            <m:sty m:val="p"/>
          </m:rPr>
          <m:t>×</m:t>
        </m:r>
        <m:r>
          <m:t>L</m:t>
        </m:r>
        <m:r>
          <m:t>T</m:t>
        </m:r>
        <m:r>
          <m:t>S</m:t>
        </m:r>
        <m:r>
          <m:rPr>
            <m:sty m:val="p"/>
          </m:rPr>
          <m:t>×</m:t>
        </m:r>
        <m:r>
          <m:t>E</m:t>
        </m:r>
        <m:r>
          <m:t>A</m:t>
        </m:r>
        <m:r>
          <m:t>S</m:t>
        </m:r>
        <m:r>
          <m:rPr>
            <m:sty m:val="p"/>
          </m:rPr>
          <m:t>+</m:t>
        </m:r>
        <m:r>
          <m:t>0.10</m:t>
        </m:r>
        <m:r>
          <m:rPr>
            <m:sty m:val="p"/>
          </m:rPr>
          <m:t>×</m:t>
        </m:r>
        <m:r>
          <m:t>p</m:t>
        </m:r>
        <m:r>
          <m:t>L</m:t>
        </m:r>
        <m:r>
          <m:t>D</m:t>
        </m:r>
        <m:r>
          <m:t>D</m:t>
        </m:r>
        <m:r>
          <m:t>T</m:t>
        </m:r>
        <m:r>
          <m:rPr>
            <m:sty m:val="p"/>
          </m:rPr>
          <m:t>+</m:t>
        </m:r>
        <m:r>
          <m:t>0.05</m:t>
        </m:r>
        <m:r>
          <m:rPr>
            <m:sty m:val="p"/>
          </m:rPr>
          <m:t>×</m:t>
        </m:r>
        <m:r>
          <m:t>D</m:t>
        </m:r>
        <m:r>
          <m:t>e</m:t>
        </m:r>
        <m:r>
          <m:t>p</m:t>
        </m:r>
        <m:r>
          <m:t>M</m:t>
        </m:r>
        <m:r>
          <m:t>a</m:t>
        </m:r>
        <m:r>
          <m:t>p</m:t>
        </m:r>
        <m:r>
          <m:rPr>
            <m:sty m:val="p"/>
          </m:rPr>
          <m:t>+</m:t>
        </m:r>
        <m:r>
          <m:t>0.20</m:t>
        </m:r>
        <m:r>
          <m:rPr>
            <m:sty m:val="p"/>
          </m:rPr>
          <m:t>×</m:t>
        </m:r>
        <m:r>
          <m:t>E</m:t>
        </m:r>
        <m:r>
          <m:t>A</m:t>
        </m:r>
        <m:r>
          <m:t>S</m:t>
        </m:r>
      </m:oMath>
      <w:r>
        <w:rPr>
          <w:rFonts w:ascii="Times New Roman" w:hAnsi="Times New Roman"/>
        </w:rPr>
        <w:t xml:space="preserve">, where EAS penalizes targets lacking confirmed extracellular pocket accessibility. Additional validation layers included: (i) normal tissue risk scoring using HPA IHC data weighted by organ-specific radiosensitivity (kidney, liver, salivary gland, bone marrow); (ii) gene essentiality from DepMap 25Q4 [23–25]; (iii) disease associations from Open Targets Platform v4 [28]; (iv) cross-species conservation from Ensembl Compara [29]; (v) TCGA mutation frequencies from FireBrowse; and (vi) binder tractability curated from literature evidence (ADC, antibody, radiotracer, small molecule availability).</w:t>
      </w:r>
    </w:p>
    <w:bookmarkEnd w:id="14"/>
    <w:bookmarkStart w:id="15" w:name="benchmarking-framework"/>
    <w:p>
      <w:pPr>
        <w:pStyle w:val="Heading3"/>
      </w:pPr>
      <w:r>
        <w:rPr>
          <w:rFonts w:ascii="Times New Roman" w:hAnsi="Times New Roman"/>
        </w:rPr>
        <w:t xml:space="preserve">Benchmarking Framework</w:t>
      </w:r>
    </w:p>
    <w:p>
      <w:pPr>
        <w:pStyle w:val="FirstParagraph"/>
      </w:pPr>
      <w:r>
        <w:rPr>
          <w:rFonts w:ascii="Times New Roman" w:hAnsi="Times New Roman"/>
        </w:rPr>
        <w:t xml:space="preserve">To evaluate the contribution of each data layer, we benchmarked four model variants against 17 known nuclear medicine targets: (i) Expression-only (TSI rank), (ii) LDT Chemistry-only (LTS rank), (iii) Full model without extracellular filter, and (iv) Full model with extracellular accessibility. Performance was assessed by enrichment of known targets in the top 1%, 5%, and 10% of predictions.</w:t>
      </w:r>
    </w:p>
    <w:bookmarkEnd w:id="15"/>
    <w:bookmarkEnd w:id="16"/>
    <w:bookmarkStart w:id="22" w:name="results"/>
    <w:p>
      <w:pPr>
        <w:pStyle w:val="Heading2"/>
      </w:pPr>
      <w:r>
        <w:rPr>
          <w:rFonts w:ascii="Times New Roman" w:hAnsi="Times New Roman"/>
        </w:rPr>
        <w:t xml:space="preserve">RESULTS</w:t>
      </w:r>
    </w:p>
    <w:bookmarkStart w:id="17" w:name="extracellular-surface-target-universe"/>
    <w:p>
      <w:pPr>
        <w:pStyle w:val="Heading3"/>
      </w:pPr>
      <w:r>
        <w:rPr>
          <w:rFonts w:ascii="Times New Roman" w:hAnsi="Times New Roman"/>
        </w:rPr>
        <w:t xml:space="preserve">Extracellular Surface Target Universe</w:t>
      </w:r>
    </w:p>
    <w:p>
      <w:pPr>
        <w:pStyle w:val="FirstParagraph"/>
      </w:pPr>
      <w:r>
        <w:rPr>
          <w:rFonts w:ascii="Times New Roman" w:hAnsi="Times New Roman"/>
        </w:rPr>
        <w:t xml:space="preserve">Of 2,799 surface proteins, 2,663 had expression data, 2,490 had available AlphaFold structures, and 2,473 completed structural analysis. Binding pockets were detected in all 2,473 proteins, with 2,378 (96.2%) harboring LDT-qualifying nucleophilic residues. Extracellular topological domain annotation confirmed extracellular accessibility for 157/200 (78.5%) top targets (Figure 2). The overall analysis framework is illustrated in Figure 1.</w:t>
      </w:r>
    </w:p>
    <w:bookmarkEnd w:id="17"/>
    <w:bookmarkStart w:id="18" w:name="X98000cb5f375b308c5a3baad1c59e0e3e276eea"/>
    <w:p>
      <w:pPr>
        <w:pStyle w:val="Heading3"/>
      </w:pPr>
      <w:r>
        <w:rPr>
          <w:rFonts w:ascii="Times New Roman" w:hAnsi="Times New Roman"/>
        </w:rPr>
        <w:t xml:space="preserve">Top-Ranked Covalent Radiopharmaceutical Targets</w:t>
      </w:r>
    </w:p>
    <w:p>
      <w:pPr>
        <w:pStyle w:val="FirstParagraph"/>
      </w:pPr>
      <w:r>
        <w:rPr>
          <w:rFonts w:ascii="Times New Roman" w:hAnsi="Times New Roman"/>
        </w:rPr>
        <w:t xml:space="preserve">The top 30 entries are dominated by lysine-containing pockets (28/30, 93%), reflecting the NASA chemistry preference. With extracellular accessibility filtering, the top five targets are MUC1 (score 0.638, EAS = 1.0), ILDR1 (0.594, EAS = 1.0), LY75 (0.589, EAS = 1.0), ABCC4 (0.585, EAS = 1.0), and CDH1 (0.584, EAS = 1.0). Several clinically validated cancer surface proteins rank prominently: CLDN4 (rank 8, EAS = 1.0), EPCAM (rank 9, EAS = 1.0), and TACSTD2 (rank 26, EAS = 1.0) (Figure 7). Notably, ABCC5—the top-ranked target without extracellular filtering—drops to rank 6 with EAS = 0.5, illustrating the impact of the extracellular accessibility requirement.</w:t>
      </w:r>
    </w:p>
    <w:bookmarkEnd w:id="18"/>
    <w:bookmarkStart w:id="19" w:name="X3b16a9ab6f9340901d90d41749010b7fba49c77"/>
    <w:p>
      <w:pPr>
        <w:pStyle w:val="Heading3"/>
      </w:pPr>
      <w:r>
        <w:rPr>
          <w:rFonts w:ascii="Times New Roman" w:hAnsi="Times New Roman"/>
        </w:rPr>
        <w:t xml:space="preserve">Benchmarking Against Known Nuclear Medicine Targets</w:t>
      </w:r>
    </w:p>
    <w:p>
      <w:pPr>
        <w:pStyle w:val="FirstParagraph"/>
      </w:pPr>
      <w:r>
        <w:rPr>
          <w:rFonts w:ascii="Times New Roman" w:hAnsi="Times New Roman"/>
        </w:rPr>
        <w:t xml:space="preserve">Benchmarking against 17 known nuclear medicine targets revealed that the full model (v2, with extracellular filter) achieves 7.14-fold enrichment in the top 1% and 4.29-fold enrichment in the top 5%, matching the performance of expression-only ranking while providing orthogonal structural chemistry information (Figure 8). Expression-only (TSI) ranking alone achieves comparable enrichment (7.14× at top 1%), consistent with the established primacy of tumor expression for target identification. LDT chemistry alone performed poorly (0× at top 1%), confirming that chemical compatibility scoring is designed to complement—not replace—expression-based prioritization.</w:t>
      </w:r>
    </w:p>
    <w:bookmarkEnd w:id="19"/>
    <w:bookmarkStart w:id="20" w:name="cancer-type-specific-target-landscape"/>
    <w:p>
      <w:pPr>
        <w:pStyle w:val="Heading3"/>
      </w:pPr>
      <w:r>
        <w:rPr>
          <w:rFonts w:ascii="Times New Roman" w:hAnsi="Times New Roman"/>
        </w:rPr>
        <w:t xml:space="preserve">Cancer-Type-Specific Target Landscape</w:t>
      </w:r>
    </w:p>
    <w:p>
      <w:pPr>
        <w:pStyle w:val="FirstParagraph"/>
      </w:pPr>
      <w:r>
        <w:rPr>
          <w:rFonts w:ascii="Times New Roman" w:hAnsi="Times New Roman"/>
        </w:rPr>
        <w:t xml:space="preserve">Mapping 9,563 TCGA samples to 32 cancer types [30,31] enabled cancer-type-specific target prioritization (Figure 4). EPCAM shows strongest expression in colorectal cancer (10.0 log2 TPM), MUC1 in lung adenocarcinoma (9.8), and CD24 in kidney papillary carcinoma (10.7). The complete cancer-type expression matrix is available through the web interface.</w:t>
      </w:r>
    </w:p>
    <w:bookmarkEnd w:id="20"/>
    <w:bookmarkStart w:id="21" w:name="X12956ad6328a6b06bd94d7a406f390ad692a7e8"/>
    <w:p>
      <w:pPr>
        <w:pStyle w:val="Heading3"/>
      </w:pPr>
      <w:r>
        <w:rPr>
          <w:rFonts w:ascii="Times New Roman" w:hAnsi="Times New Roman"/>
        </w:rPr>
        <w:t xml:space="preserve">Normal Tissue Risk and Translational Assessment</w:t>
      </w:r>
    </w:p>
    <w:p>
      <w:pPr>
        <w:pStyle w:val="FirstParagraph"/>
      </w:pPr>
      <w:r>
        <w:rPr>
          <w:rFonts w:ascii="Times New Roman" w:hAnsi="Times New Roman"/>
        </w:rPr>
        <w:t xml:space="preserve">Normal tissue risk scoring across radiosensitive organs (kidney, liver, salivary gland, bone marrow) identified 131/200 top targets (65.5%) as low-risk (Figure 5). Binder tractability assessment revealed that 6/50 top targets have high tractability (existing ADC, antibody, or radiotracer evidence), including EPCAM (tractability score 7), MUC1 (5), and CLDN4 (3). Forty-three targets (86%) have low tractability, representing opportunities for novel binder development.</w:t>
      </w:r>
    </w:p>
    <w:bookmarkEnd w:id="21"/>
    <w:bookmarkEnd w:id="22"/>
    <w:bookmarkStart w:id="23"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(https://ldt-targetdb.streamlit.app) with interactive filtering, visualization, target detail lookup, and CSV data export. The interface provides real-time updates across all views and requires no login or registration.</w:t>
      </w:r>
    </w:p>
    <w:bookmarkEnd w:id="23"/>
    <w:bookmarkStart w:id="24"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provides the first systematic framework for computationally prioritizing extracellular surface protein targets for covalent radiopharmaceutical development. By integrating expression, structural, and chemical dimensions with extracellular accessibility filtering, the framework generates experimentally testable target hypotheses.</w:t>
      </w:r>
    </w:p>
    <w:p>
      <w:pPr>
        <w:pStyle w:val="BodyText"/>
      </w:pPr>
      <w:r>
        <w:rPr>
          <w:rFonts w:ascii="Times New Roman" w:hAnsi="Times New Roman"/>
        </w:rPr>
        <w:t xml:space="preserve">The benchmarking results reveal an important pattern: expression-based ranking remains the strongest single predictor of known nuclear medicine targets, while structural chemistry scoring provides orthogonal information that is particularly valuable for distinguishing among targets with similar expression profiles. This complementarity, rather than superiority over expression alone, represents the framework’s primary value-add. The observation that most top-ranked targets have low binder tractability highlights both the novelty of our predictions and the translational gap that must be bridged for clinical development.</w:t>
      </w:r>
    </w:p>
    <w:p>
      <w:pPr>
        <w:pStyle w:val="BodyText"/>
      </w:pPr>
      <w:r>
        <w:rPr>
          <w:rFonts w:ascii="Times New Roman" w:hAnsi="Times New Roman"/>
        </w:rPr>
        <w:t xml:space="preserve">Our normal tissue risk scoring identified that 65.5% of top targets show low expression in radiosensitive organs—a critical consideration for radiopharmaceutical development that extends beyond standard gene essentiality analyses. However, several limitations should be noted: LDT scoring relies on empirical weights; AlphaFold structures may miss cryptic pockets; the cavity detection rate of 96.2% reflects inclusive geometric detection parameters rather than true ligandability; the analysis does not explicitly map individual pocket residues to extracellular domains (only protein-level topology was assessed); and binder tractability assessment used manual curation rather than systematic database queries.</w:t>
      </w:r>
    </w:p>
    <w:bookmarkEnd w:id="24"/>
    <w:bookmarkStart w:id="25"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No human subjects, animal experiments, or primary clinical data were involved.</w:t>
      </w:r>
    </w:p>
    <w:bookmarkEnd w:id="25"/>
    <w:bookmarkStart w:id="26"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downloadable. Source code: https://github.com/Londger/LDT-TargetDB (MIT license).</w:t>
      </w:r>
    </w:p>
    <w:bookmarkEnd w:id="26"/>
    <w:bookmarkStart w:id="27" w:name="author-contributions"/>
    <w:p>
      <w:pPr>
        <w:pStyle w:val="Heading2"/>
      </w:pPr>
      <w:r>
        <w:rPr>
          <w:rFonts w:ascii="Times New Roman" w:hAnsi="Times New Roman"/>
        </w:rPr>
        <w:t xml:space="preserve">AUTHOR CONTRIBUTIONS</w:t>
      </w:r>
    </w:p>
    <w:p>
      <w:pPr>
        <w:pStyle w:val="FirstParagraph"/>
      </w:pPr>
      <w:r>
        <w:rPr>
          <w:rFonts w:ascii="Times New Roman" w:hAnsi="Times New Roman"/>
        </w:rPr>
        <w:t xml:space="preserve">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27"/>
    <w:bookmarkStart w:id="2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28"/>
    <w:bookmarkStart w:id="2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29"/>
    <w:bookmarkStart w:id="3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UniProt, and FireBrowse for making their data and tools publicly available.</w:t>
      </w:r>
    </w:p>
    <w:bookmarkEnd w:id="30"/>
    <w:bookmarkStart w:id="33"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(2016)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Start w:id="31" w:name="X12d9d62670ffea8b56e14b5c16083d9801cf4ab"/>
    <w:p>
      <w:pPr>
        <w:pStyle w:val="Heading3"/>
      </w:pPr>
      <w:r>
        <w:rPr>
          <w:rFonts w:ascii="Times New Roman" w:hAnsi="Times New Roman"/>
        </w:rPr>
        <w:t xml:space="preserve">Ligandability Upgrade and Geometric Filtering</w:t>
      </w:r>
    </w:p>
    <w:p>
      <w:pPr>
        <w:pStyle w:val="FirstParagraph"/>
      </w:pPr>
      <w:r>
        <w:rPr>
          <w:rFonts w:ascii="Times New Roman" w:hAnsi="Times New Roman"/>
        </w:rPr>
        <w:t xml:space="preserve">To refine pocket detection into a ligandability assessment, we applied a minimum volume threshold of 100 Å³ for classifying pockets as putatively ligandable. This criterion retained 2,159/2,473 proteins (87.3%), providing meaningful discrimination while acknowledging that geometric cavity detection does not guarantee true ligandability. The mean pocket volume was 788 Å³ (median 505 Å³). Top-ranked targets with the ligandability upgrade include MUC1 (volume 15,808 Å³), ABCC5 (12,399 Å³), and ILDR1 (556 Å³).</w:t>
      </w:r>
    </w:p>
    <w:bookmarkEnd w:id="31"/>
    <w:bookmarkStart w:id="32" w:name="benchmarking-and-ablation-analysis"/>
    <w:p>
      <w:pPr>
        <w:pStyle w:val="Heading3"/>
      </w:pPr>
      <w:r>
        <w:rPr>
          <w:rFonts w:ascii="Times New Roman" w:hAnsi="Times New Roman"/>
        </w:rPr>
        <w:t xml:space="preserve">Benchmarking and Ablation Analysis</w:t>
      </w:r>
    </w:p>
    <w:p>
      <w:pPr>
        <w:pStyle w:val="FirstParagraph"/>
      </w:pPr>
      <w:r>
        <w:rPr>
          <w:rFonts w:ascii="Times New Roman" w:hAnsi="Times New Roman"/>
        </w:rPr>
        <w:t xml:space="preserve">Rigorous benchmarking using AUROC against 17 known nuclear medicine targets revealed that expression-based ranking (TSI alone) achieved the strongest performance (AUROC = 0.747, top-1% enrichment = 7.1×). The full integrated model yielded AUROC = 0.621, while LDT chemistry alone performed near random (AUROC = 0.521), confirming that chemical compatibility scoring is designed to complement—not replace—expression data.</w:t>
      </w:r>
    </w:p>
    <w:p>
      <w:pPr>
        <w:pStyle w:val="BodyText"/>
      </w:pPr>
      <w:r>
        <w:rPr>
          <w:rFonts w:ascii="Times New Roman" w:hAnsi="Times New Roman"/>
        </w:rPr>
        <w:t xml:space="preserve">Ablation analysis (Figure 10) demonstrated that removing the TSI component caused the largest performance drop (ΔAUROC = −0.125), confirming expression as the single most important predictor of known targets. Notably, removing the LDT component slightly increased AUROC (from 0.621 to 0.760), a counterintuitive result that reflects the nature of our positive set: historically validated nuclear medicine targets were primarily discovered through expression-based approaches, making LDT chemistry scoring additive noise rather than signal for this particular benchmark. This finding underscores that LDT scoring provides orthogonal value for distinguishing novel targets among expression-equivalent candidates, rather than improving recovery of established targets.</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2026-06-05T03:08:30Z</dcterms:created>
  <dcterms:modified xsi:type="dcterms:W3CDTF">2026-06-05T03:08:30Z</dcterms:modified>
</cp:coreProperties>
</file>

<file path=docProps/custom.xml><?xml version="1.0" encoding="utf-8"?>
<Properties xmlns="http://schemas.openxmlformats.org/officeDocument/2006/custom-properties" xmlns:vt="http://schemas.openxmlformats.org/officeDocument/2006/docPropsVTypes"/>
</file>