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70DEA">
      <w:pPr>
        <w:spacing w:before="480" w:after="360" w:line="360" w:lineRule="auto"/>
        <w:ind w:left="0" w:firstLine="0"/>
        <w:jc w:val="center"/>
      </w:pPr>
      <w:bookmarkStart w:id="23" w:name="_GoBack"/>
      <w:bookmarkEnd w:id="23"/>
      <w:r>
        <w:rPr>
          <w:rFonts w:ascii="Times New Roman" w:hAnsi="Times New Roman" w:eastAsia="黑体" w:cs="Times New Roman"/>
          <w:b/>
          <w:sz w:val="44"/>
          <w:szCs w:val="44"/>
        </w:rPr>
        <w:t>基于邻位驱动的配体导向转移共价探针的研究进展</w:t>
      </w:r>
    </w:p>
    <w:p w14:paraId="496A019D">
      <w:pPr>
        <w:spacing w:before="120" w:after="60" w:line="360" w:lineRule="auto"/>
        <w:ind w:left="0" w:firstLine="0"/>
        <w:jc w:val="left"/>
        <w:outlineLvl w:val="1"/>
      </w:pPr>
      <w:bookmarkStart w:id="0" w:name="heading_0"/>
      <w:r>
        <w:rPr>
          <w:rFonts w:ascii="Times New Roman" w:hAnsi="Times New Roman" w:eastAsia="黑体" w:cs="Times New Roman"/>
          <w:b/>
          <w:sz w:val="21"/>
          <w:szCs w:val="28"/>
        </w:rPr>
        <w:t>摘要</w:t>
      </w:r>
      <w:bookmarkEnd w:id="0"/>
    </w:p>
    <w:p w14:paraId="5FA0AD87">
      <w:pPr>
        <w:spacing w:before="0" w:after="0" w:line="360" w:lineRule="auto"/>
        <w:ind w:left="0" w:firstLine="480"/>
        <w:jc w:val="both"/>
      </w:pPr>
      <w:r>
        <w:rPr>
          <w:rFonts w:ascii="Times New Roman" w:hAnsi="Times New Roman" w:eastAsia="宋体" w:cs="Times New Roman"/>
          <w:b w:val="0"/>
          <w:sz w:val="21"/>
          <w:szCs w:val="24"/>
        </w:rPr>
        <w:t>在复杂生物体系中，精准解析蛋白质的空间位置、功能及其动态相互作用，是化学生物学与药物研发领域的主要挑战。传统的遗传学手段（如荧光蛋白融合）虽功能强大，但存在扰动蛋白天然结构、无法直接应用于临床原代样本的局限；常规小分子探针则普遍受限于解离速率快、标记信号不稳定、易占据蛋白活性位点、干扰蛋白生理功能等问题。为突破上述技术瓶颈，兼具高标记特异性、低生理功能扰动的基于邻位驱动化学的配体导向共价探针技术应运而生。其中，邻位驱动（Proximity-driven）是该技术的物理化学原理，配体导向（Ligand-directed, LD）共价探针则是基于该原理发展的一种化学工具，尤以实现"无痕标记"的配体导向转移（Ligand-Directed Transfer, LDT）探针为当前的研究核心。这类探针通过将高亲和力配体与反应性"弹头"偶联，利用"邻位效应"带来的有效摩尔浓度提升，实现对内源性蛋白质的特异性共价标记。本综述详尽剖析了邻位驱动共价探针的设计逻辑、化学反应机制的演变（从传统的亲和标记到无痕转移化学），并深入探讨其在拓展"可配体化"蛋白质组（从半胱氨酸到赖氨酸、组氨酸、酪氨酸等残基）中的应用。通过整合最新研究进展，包括N-酰基-N-烷基磺酰胺（NASA）化学、共价配体导向释放（CoLDR）化学以及可逆共价策略，本文旨在为读者提供该领域现状与未来发展的全面分析，涵盖从G蛋白偶联受体（G Protein-Coupled Receptors, GPCRs）的活细胞成像到酶活性调控及靶向蛋白降解（Targeted Protein Degradation, TPD）的前沿应用。</w:t>
      </w:r>
    </w:p>
    <w:p w14:paraId="736F88C5">
      <w:pPr>
        <w:spacing w:before="260" w:after="120" w:line="360" w:lineRule="auto"/>
        <w:ind w:left="0" w:firstLine="0"/>
        <w:jc w:val="left"/>
        <w:outlineLvl w:val="1"/>
      </w:pPr>
      <w:bookmarkStart w:id="1" w:name="heading_1"/>
      <w:r>
        <w:rPr>
          <w:rFonts w:ascii="Times New Roman" w:hAnsi="Times New Roman" w:eastAsia="黑体" w:cs="Times New Roman"/>
          <w:b/>
          <w:sz w:val="28"/>
          <w:szCs w:val="28"/>
        </w:rPr>
        <w:t>1 引言：蛋白质探针的需求</w:t>
      </w:r>
      <w:bookmarkEnd w:id="1"/>
    </w:p>
    <w:p w14:paraId="4EC0F70E">
      <w:pPr>
        <w:spacing w:before="120" w:after="60" w:line="360" w:lineRule="auto"/>
        <w:ind w:left="0" w:firstLine="0"/>
        <w:jc w:val="left"/>
        <w:outlineLvl w:val="2"/>
      </w:pPr>
      <w:bookmarkStart w:id="2" w:name="heading_2"/>
      <w:r>
        <w:rPr>
          <w:rFonts w:ascii="Times New Roman" w:hAnsi="Times New Roman" w:eastAsia="黑体" w:cs="Times New Roman"/>
          <w:b/>
          <w:sz w:val="24"/>
          <w:szCs w:val="24"/>
        </w:rPr>
        <w:t>1.1 化学生物学的困境</w:t>
      </w:r>
      <w:bookmarkEnd w:id="2"/>
    </w:p>
    <w:p>
      <w:pPr>
        <w:jc w:val="both"/>
        <w:spacing w:line="360" w:lineRule="auto"/>
        <w:ind w:firstLine="340"/>
      </w:pPr>
      <w:r>
        <w:rPr>
          <w:rFonts w:ascii="Times New Roman" w:hAnsi="Times New Roman" w:eastAsia="宋体"/>
          <w:sz w:val="24"/>
          <w:szCs w:val="24"/>
        </w:rPr>
        <w:t xml:space="preserve">蛋白质是生命活动的核心执行者。为解析其在生理与病理状态下的功能，理想的蛋白标记技术需同时满足高特异性、低生理干扰和活体适用性。基于遗传编码的荧光蛋白融合（如GFP）和自标记酶标签（如SNAP-tag、HaloTag）虽功能强大，但外源标签（~27 kDa）可能干扰蛋白折叠与互作，且过表达破坏内源性化学计量平衡，更无法直接应用于临床原代样本[1,2]。小分子荧光探针避免了遗传操作弊端，但非共价结合探针受限于解离速率，信号难以持久；为获得足够亲和力，常占据蛋白正构位点，导致功能抑制[3]。</w:t>
      </w:r>
    </w:p>
    <w:p>
      <w:pPr>
        <w:jc w:val="both"/>
        <w:spacing w:line="360" w:lineRule="auto"/>
        <w:ind w:firstLine="340"/>
      </w:pPr>
      <w:r>
        <w:rPr>
          <w:rFonts w:ascii="Times New Roman" w:hAnsi="Times New Roman" w:eastAsia="宋体"/>
          <w:sz w:val="24"/>
          <w:szCs w:val="24"/>
        </w:rPr>
        <w:t xml:space="preserve">共价探针通过高反应性化学弹头与靶蛋白形成稳固共价键，从根本上消除了探针解离问题。然而，传统共价探针依赖弹头内在反应性驱动，面临双重困境：高活性弹头（如丙烯酰胺、卤代烷）易与生物环境中的非靶标亲核试剂反应，产生脱靶效应和细胞毒性；同时遵循"占据即修饰"原则，配体永久封堵蛋白活性位点，使研究者难以观察蛋白在天然活性状态下的动态功能[8]。因此，理想的蛋白标记策略需在选择性、功能保留和活体兼容性三个层面实现突破。</w:t>
      </w:r>
    </w:p>
    <w:p w14:paraId="18AA5C41">
      <w:pPr>
        <w:spacing w:before="120" w:after="60" w:line="360" w:lineRule="auto"/>
        <w:ind w:left="0" w:firstLine="0"/>
        <w:jc w:val="left"/>
        <w:outlineLvl w:val="2"/>
      </w:pPr>
      <w:bookmarkStart w:id="3" w:name="heading_3"/>
      <w:r>
        <w:rPr>
          <w:rFonts w:ascii="Times New Roman" w:hAnsi="Times New Roman" w:eastAsia="黑体" w:cs="Times New Roman"/>
          <w:b/>
          <w:sz w:val="24"/>
          <w:szCs w:val="24"/>
        </w:rPr>
        <w:t>1.2 邻位驱动化学的兴起</w:t>
      </w:r>
      <w:bookmarkEnd w:id="3"/>
    </w:p>
    <w:p>
      <w:pPr>
        <w:jc w:val="both"/>
        <w:spacing w:line="360" w:lineRule="auto"/>
        <w:ind w:firstLine="340"/>
      </w:pPr>
      <w:r>
        <w:rPr>
          <w:rFonts w:ascii="Times New Roman" w:hAnsi="Times New Roman" w:eastAsia="宋体"/>
          <w:sz w:val="24"/>
          <w:szCs w:val="24"/>
        </w:rPr>
        <w:t xml:space="preserve">邻位驱动（Proximity-driven）化学为解决上述矛盾提供了全新范式。其物理化学基础是"邻位效应"：当配体将反应弹头锚定至靶蛋白表面时，局部有效摩尔浓度（Effective Molarity, EM）可较稀溶液提升6个数量级以上，原本低效的双分子反应转化为高效的准单分子过程。基于该原理发展的配体导向（Ligand-directed, LD）共价探针，将高亲和力配体与低反应活性的"潜伏性"弹头偶联，游离状态化学惰性，仅在配体结合后由邻位效应触发位点特异性共价标记，从源头规避了脱靶风险。</w:t>
      </w:r>
    </w:p>
    <w:p>
      <w:pPr>
        <w:jc w:val="both"/>
        <w:spacing w:line="360" w:lineRule="auto"/>
        <w:ind w:firstLine="340"/>
      </w:pPr>
      <w:r>
        <w:rPr>
          <w:rFonts w:ascii="Times New Roman" w:hAnsi="Times New Roman" w:eastAsia="宋体"/>
          <w:sz w:val="24"/>
          <w:szCs w:val="24"/>
        </w:rPr>
        <w:t>根据标记后配体是否脱落，LD探针分为非转移型（Non-transfer）与转移型（Ligand-Directed Transfer, LDT）。非转移型探针虽提升了修饰选择性，但配体永久占据结合口袋，蛋白功能仍受抑制。LDT探针在邻位驱动基础上引入可断裂连接子，标记完成后配体完全脱落，蛋白结合口袋恢复天然空载状态，可实现完全不干扰蛋白功能的"无痕标记"[3]。本综述聚焦此类配体导向转移共价探针，系统梳理其弹头化学结构的演变、设计逻辑和生物学应用。近年来，London团队开发的共价配体导向释放（CoLDR）化学通过加成-消除机制实现了同样的无痕转移目标，表明这一设计理念具有跨化学体系的普适性。</w:t>
      </w:r>
    </w:p>
    <w:p w14:paraId="23724B56">
      <w:pPr>
        <w:spacing w:before="260" w:after="120" w:line="360" w:lineRule="auto"/>
        <w:ind w:left="0" w:firstLine="0"/>
        <w:jc w:val="left"/>
        <w:outlineLvl w:val="1"/>
      </w:pPr>
      <w:bookmarkStart w:id="4" w:name="heading_4"/>
      <w:r>
        <w:rPr>
          <w:rFonts w:ascii="Times New Roman" w:hAnsi="Times New Roman" w:eastAsia="黑体" w:cs="Times New Roman"/>
          <w:b/>
          <w:sz w:val="28"/>
          <w:szCs w:val="28"/>
        </w:rPr>
        <w:t>2 配体导向转移探针的设计原理</w:t>
      </w:r>
      <w:bookmarkEnd w:id="4"/>
    </w:p>
    <w:p w14:paraId="7F6E7614">
      <w:pPr>
        <w:spacing w:before="120" w:after="60" w:line="360" w:lineRule="auto"/>
        <w:ind w:left="0" w:firstLine="0"/>
        <w:jc w:val="left"/>
        <w:outlineLvl w:val="2"/>
      </w:pPr>
      <w:bookmarkStart w:id="5" w:name="heading_5"/>
      <w:r>
        <w:rPr>
          <w:rFonts w:ascii="Times New Roman" w:hAnsi="Times New Roman" w:eastAsia="黑体" w:cs="Times New Roman"/>
          <w:b/>
          <w:sz w:val="24"/>
          <w:szCs w:val="24"/>
        </w:rPr>
        <w:t>2.1 邻位效应与有效摩尔浓度</w:t>
      </w:r>
      <w:bookmarkEnd w:id="5"/>
    </w:p>
    <w:p w14:paraId="32AAA548">
      <w:pPr>
        <w:spacing w:before="0" w:after="0" w:line="360" w:lineRule="auto"/>
        <w:ind w:left="0" w:firstLine="480"/>
        <w:jc w:val="both"/>
      </w:pPr>
      <w:r>
        <w:rPr>
          <w:rFonts w:ascii="Times New Roman" w:hAnsi="Times New Roman" w:eastAsia="宋体" w:cs="Times New Roman"/>
          <w:b w:val="0"/>
          <w:sz w:val="24"/>
          <w:szCs w:val="24"/>
        </w:rPr>
        <w:t>邻位驱动化学的物理化学原理是"邻位效应"（Proximity Effect）。在常规双分子反应中，反应速率高度依赖于两个反应物的碰撞频率与有效碰撞占比；而当高亲和力配体将反应弹头锚定在目标蛋白表面时，会极大提升反应基团在目标残基附近的局部浓度，原本的双分子反应会转化为准单分子过程（Pseudo-unimolecular process）。该浓度提升效应通常用有效摩尔浓度（Effective Molarity, EM） 进行量化。</w:t>
      </w:r>
    </w:p>
    <w:p w14:paraId="348446F0">
      <w:pPr>
        <w:spacing w:before="0" w:after="0" w:line="360" w:lineRule="auto"/>
        <w:ind w:left="0" w:firstLine="480"/>
        <w:jc w:val="both"/>
      </w:pPr>
      <w:r>
        <w:rPr>
          <w:rFonts w:ascii="Times New Roman" w:hAnsi="Times New Roman" w:eastAsia="宋体" w:cs="Times New Roman"/>
          <w:b w:val="0"/>
          <w:sz w:val="24"/>
          <w:szCs w:val="24"/>
        </w:rPr>
        <w:t>对于优化完善的配体-蛋白复合物，EM值可以达到甚至超过</w:t>
      </w:r>
      <m:oMath>
        <m:r>
          <m:rPr>
            <m:sty m:val="p"/>
          </m:rPr>
          <w:rPr>
            <w:rFonts w:ascii="Cambria Math" w:hAnsi="Cambria Math"/>
          </w:rPr>
          <m:t>10^3\ \text{M}</m:t>
        </m:r>
      </m:oMath>
      <w:r>
        <w:rPr>
          <w:rFonts w:ascii="Times New Roman" w:hAnsi="Times New Roman" w:eastAsia="宋体" w:cs="Times New Roman"/>
          <w:b w:val="0"/>
          <w:sz w:val="24"/>
          <w:szCs w:val="24"/>
        </w:rPr>
        <w:t>。稀溶液中游离反应物的常规摩尔浓度通常为μM~mM级，而结合口袋内的局部浓度较稀溶液提升了6个数量级以上。因此，即使是在稀溶液中对亲核试剂反应性极弱的"潜伏性亲电试剂"（Latent electrophile），在结合口袋内也能以极快的速率发生目标反应。</w:t>
      </w:r>
    </w:p>
    <w:p w14:paraId="5BD04C39">
      <w:pPr>
        <w:spacing w:before="0" w:after="0" w:line="360" w:lineRule="auto"/>
        <w:ind w:left="0" w:firstLine="480"/>
        <w:jc w:val="both"/>
      </w:pPr>
      <w:r>
        <w:rPr>
          <w:rFonts w:ascii="Times New Roman" w:hAnsi="Times New Roman" w:eastAsia="宋体" w:cs="Times New Roman"/>
          <w:b w:val="0"/>
          <w:sz w:val="24"/>
          <w:szCs w:val="24"/>
        </w:rPr>
        <w:t>这种机制赋予了这类探针优异的标记选择性，主要体现在两个层面：</w:t>
      </w:r>
    </w:p>
    <w:p w14:paraId="0C2B2C22">
      <w:pPr>
        <w:spacing w:before="0" w:after="0" w:line="360" w:lineRule="auto"/>
        <w:ind w:left="0" w:firstLine="480"/>
        <w:jc w:val="both"/>
      </w:pPr>
      <w:r>
        <w:rPr>
          <w:rFonts w:ascii="Times New Roman" w:hAnsi="Times New Roman" w:eastAsia="宋体" w:cs="Times New Roman"/>
          <w:b w:val="0"/>
          <w:sz w:val="24"/>
          <w:szCs w:val="24"/>
        </w:rPr>
        <w:t>动力学选择性：探针在低浓度稀溶液体系中与非靶标蛋白发生随机碰撞时，无法达到反应所需的有效浓度，不足以触发非特异性反应；</w:t>
      </w:r>
    </w:p>
    <w:p w14:paraId="4DA1D419">
      <w:pPr>
        <w:spacing w:before="0" w:after="0" w:line="360" w:lineRule="auto"/>
        <w:ind w:left="0" w:firstLine="480"/>
        <w:jc w:val="both"/>
      </w:pPr>
      <w:r>
        <w:rPr>
          <w:rFonts w:ascii="Times New Roman" w:hAnsi="Times New Roman" w:eastAsia="宋体" w:cs="Times New Roman"/>
          <w:b w:val="0"/>
          <w:sz w:val="24"/>
          <w:szCs w:val="24"/>
        </w:rPr>
        <w:t>热力学驱动选择性：只有当配体精准结合至目标蛋白的特定结合口袋，且弹头与靶残基的空间取向完全匹配时，反应能垒才可被显著降低，进而高效触发共价修饰。上述邻位效应机制赋予了LDT探针与传统亲和标记方法截然不同的选择性和功能性，如下所述。</w:t>
      </w:r>
    </w:p>
    <w:p w14:paraId="22AF2895">
      <w:pPr>
        <w:spacing w:before="120" w:after="60" w:line="360" w:lineRule="auto"/>
        <w:ind w:left="0" w:firstLine="0"/>
        <w:jc w:val="left"/>
        <w:outlineLvl w:val="2"/>
      </w:pPr>
      <w:bookmarkStart w:id="6" w:name="heading_6"/>
      <w:r>
        <w:rPr>
          <w:rFonts w:ascii="Times New Roman" w:hAnsi="Times New Roman" w:eastAsia="黑体" w:cs="Times New Roman"/>
          <w:b/>
          <w:sz w:val="24"/>
          <w:szCs w:val="24"/>
        </w:rPr>
        <w:t>2.2 传统亲和标记与配体导向转移探针的区别</w:t>
      </w:r>
      <w:bookmarkEnd w:id="6"/>
    </w:p>
    <w:p w14:paraId="12582D3D">
      <w:pPr>
        <w:spacing w:before="0" w:after="0" w:line="360" w:lineRule="auto"/>
        <w:ind w:left="0" w:firstLine="480"/>
        <w:jc w:val="both"/>
      </w:pPr>
      <w:r>
        <w:rPr>
          <w:rFonts w:ascii="Times New Roman" w:hAnsi="Times New Roman" w:eastAsia="宋体" w:cs="Times New Roman"/>
          <w:b w:val="0"/>
          <w:sz w:val="24"/>
          <w:szCs w:val="24"/>
        </w:rPr>
        <w:t>传统亲和标记与配体导向转移探针在结构设计、反应结果及应用场景上存在差异，其特性对比如表1所示。在上述设计原理的指导下，研究者围绕弹头化学结构进行了系统的迭代优化，形成了三代技术体系。</w:t>
      </w:r>
    </w:p>
    <w:p w14:paraId="7EF90D2D">
      <w:pPr>
        <w:spacing w:before="120" w:after="60" w:line="360" w:lineRule="auto"/>
        <w:ind w:left="0" w:firstLine="0"/>
        <w:jc w:val="center"/>
      </w:pPr>
      <w:r>
        <w:rPr>
          <w:rFonts w:ascii="Times New Roman" w:hAnsi="Times New Roman" w:eastAsia="黑体" w:cs="Times New Roman"/>
          <w:b/>
          <w:sz w:val="21"/>
          <w:szCs w:val="21"/>
        </w:rPr>
        <w:t>表1 传统亲和标记与配体导向转移探针技术的特性对比</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15"/>
        <w:gridCol w:w="2415"/>
        <w:gridCol w:w="3450"/>
      </w:tblGrid>
      <w:tr w14:paraId="280983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tcPr>
          <w:p w14:paraId="76887D1F">
            <w:pPr>
              <w:spacing w:before="120" w:after="120" w:line="288" w:lineRule="auto"/>
              <w:ind w:left="0"/>
              <w:jc w:val="left"/>
            </w:pPr>
            <w:r>
              <w:rPr>
                <w:rFonts w:ascii="Arial" w:hAnsi="Arial" w:eastAsia="等线" w:cs="Arial"/>
                <w:sz w:val="22"/>
              </w:rPr>
              <w:t>特性</w:t>
            </w:r>
          </w:p>
        </w:tc>
        <w:tc>
          <w:tcPr>
            <w:tcW w:w="2415" w:type="dxa"/>
            <w:tcMar>
              <w:top w:w="60" w:type="dxa"/>
              <w:left w:w="120" w:type="dxa"/>
              <w:bottom w:w="30" w:type="dxa"/>
              <w:right w:w="120" w:type="dxa"/>
            </w:tcMar>
          </w:tcPr>
          <w:p w14:paraId="40EEA3B1">
            <w:pPr>
              <w:spacing w:before="120" w:after="120" w:line="288" w:lineRule="auto"/>
              <w:ind w:left="0"/>
              <w:jc w:val="left"/>
            </w:pPr>
            <w:r>
              <w:rPr>
                <w:rFonts w:ascii="Arial" w:hAnsi="Arial" w:eastAsia="等线" w:cs="Arial"/>
                <w:sz w:val="22"/>
              </w:rPr>
              <w:t>传统亲和标记 (Affinity Labeling) / ABPP</w:t>
            </w:r>
          </w:p>
        </w:tc>
        <w:tc>
          <w:tcPr>
            <w:tcW w:w="3450" w:type="dxa"/>
            <w:tcMar>
              <w:top w:w="60" w:type="dxa"/>
              <w:left w:w="120" w:type="dxa"/>
              <w:bottom w:w="30" w:type="dxa"/>
              <w:right w:w="120" w:type="dxa"/>
            </w:tcMar>
          </w:tcPr>
          <w:p w14:paraId="3FB549C0">
            <w:pPr>
              <w:spacing w:before="120" w:after="120" w:line="288" w:lineRule="auto"/>
              <w:ind w:left="0"/>
              <w:jc w:val="left"/>
            </w:pPr>
            <w:r>
              <w:rPr>
                <w:rFonts w:ascii="Arial" w:hAnsi="Arial" w:eastAsia="等线" w:cs="Arial"/>
                <w:sz w:val="22"/>
              </w:rPr>
              <w:t>配体导向转移 (Ligand-Directed Transfer, LDT)</w:t>
            </w:r>
          </w:p>
        </w:tc>
      </w:tr>
      <w:tr w14:paraId="3400EA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tcPr>
          <w:p w14:paraId="3BE4B4B2">
            <w:pPr>
              <w:spacing w:before="120" w:after="120" w:line="288" w:lineRule="auto"/>
              <w:ind w:left="0"/>
              <w:jc w:val="left"/>
            </w:pPr>
            <w:r>
              <w:rPr>
                <w:rFonts w:ascii="Arial" w:hAnsi="Arial" w:eastAsia="等线" w:cs="Arial"/>
                <w:sz w:val="22"/>
              </w:rPr>
              <w:t>结构组成</w:t>
            </w:r>
          </w:p>
        </w:tc>
        <w:tc>
          <w:tcPr>
            <w:tcW w:w="2415" w:type="dxa"/>
            <w:tcMar>
              <w:top w:w="60" w:type="dxa"/>
              <w:left w:w="120" w:type="dxa"/>
              <w:bottom w:w="30" w:type="dxa"/>
              <w:right w:w="120" w:type="dxa"/>
            </w:tcMar>
          </w:tcPr>
          <w:p w14:paraId="00604D31">
            <w:pPr>
              <w:spacing w:before="120" w:after="120" w:line="288" w:lineRule="auto"/>
              <w:ind w:left="0"/>
              <w:jc w:val="left"/>
            </w:pPr>
            <w:r>
              <w:rPr>
                <w:rFonts w:ascii="Arial" w:hAnsi="Arial" w:eastAsia="等线" w:cs="Arial"/>
                <w:sz w:val="22"/>
              </w:rPr>
              <w:t>配体-普通连接子-弹头-报告基团（连接子不可断裂，探针整体共价结合蛋白；</w:t>
            </w:r>
          </w:p>
        </w:tc>
        <w:tc>
          <w:tcPr>
            <w:tcW w:w="3450" w:type="dxa"/>
            <w:tcMar>
              <w:top w:w="60" w:type="dxa"/>
              <w:left w:w="120" w:type="dxa"/>
              <w:bottom w:w="30" w:type="dxa"/>
              <w:right w:w="120" w:type="dxa"/>
            </w:tcMar>
          </w:tcPr>
          <w:p w14:paraId="2805C329">
            <w:pPr>
              <w:spacing w:before="120" w:after="120" w:line="288" w:lineRule="auto"/>
              <w:ind w:left="0"/>
              <w:jc w:val="left"/>
            </w:pPr>
            <w:r>
              <w:rPr>
                <w:rFonts w:ascii="Arial" w:hAnsi="Arial" w:eastAsia="等线" w:cs="Arial"/>
                <w:sz w:val="22"/>
              </w:rPr>
              <w:t>配体-可断裂连接子-弹头-报告基团（连接子可断裂，标记后配体-连接子脱落；</w:t>
            </w:r>
          </w:p>
        </w:tc>
      </w:tr>
      <w:tr w14:paraId="55760C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tcPr>
          <w:p w14:paraId="1CE80C14">
            <w:pPr>
              <w:spacing w:before="120" w:after="120" w:line="288" w:lineRule="auto"/>
              <w:ind w:left="0"/>
              <w:jc w:val="left"/>
            </w:pPr>
            <w:r>
              <w:rPr>
                <w:rFonts w:ascii="Arial" w:hAnsi="Arial" w:eastAsia="等线" w:cs="Arial"/>
                <w:sz w:val="22"/>
              </w:rPr>
              <w:t>弹头活性</w:t>
            </w:r>
          </w:p>
        </w:tc>
        <w:tc>
          <w:tcPr>
            <w:tcW w:w="2415" w:type="dxa"/>
            <w:tcMar>
              <w:top w:w="60" w:type="dxa"/>
              <w:left w:w="120" w:type="dxa"/>
              <w:bottom w:w="30" w:type="dxa"/>
              <w:right w:w="120" w:type="dxa"/>
            </w:tcMar>
          </w:tcPr>
          <w:p w14:paraId="23DC7154">
            <w:pPr>
              <w:spacing w:before="120" w:after="120" w:line="288" w:lineRule="auto"/>
              <w:ind w:left="0"/>
              <w:jc w:val="left"/>
            </w:pPr>
            <w:r>
              <w:rPr>
                <w:rFonts w:ascii="Arial" w:hAnsi="Arial" w:eastAsia="等线" w:cs="Arial"/>
                <w:sz w:val="22"/>
              </w:rPr>
              <w:t>内在活性高，易产生非特异性结合</w:t>
            </w:r>
          </w:p>
        </w:tc>
        <w:tc>
          <w:tcPr>
            <w:tcW w:w="3450" w:type="dxa"/>
            <w:tcMar>
              <w:top w:w="60" w:type="dxa"/>
              <w:left w:w="120" w:type="dxa"/>
              <w:bottom w:w="30" w:type="dxa"/>
              <w:right w:w="120" w:type="dxa"/>
            </w:tcMar>
          </w:tcPr>
          <w:p w14:paraId="74EA0369">
            <w:pPr>
              <w:spacing w:before="120" w:after="120" w:line="288" w:lineRule="auto"/>
              <w:ind w:left="0"/>
              <w:jc w:val="left"/>
            </w:pPr>
            <w:r>
              <w:rPr>
                <w:rFonts w:ascii="Arial" w:hAnsi="Arial" w:eastAsia="等线" w:cs="Arial"/>
                <w:sz w:val="22"/>
              </w:rPr>
              <w:t>潜伏性低活性，仅在靶标蛋白结合口袋的特定微环境下触发反应</w:t>
            </w:r>
          </w:p>
        </w:tc>
      </w:tr>
      <w:tr w14:paraId="1230BE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tcPr>
          <w:p w14:paraId="5F6FB628">
            <w:pPr>
              <w:spacing w:before="120" w:after="120" w:line="288" w:lineRule="auto"/>
              <w:ind w:left="0"/>
              <w:jc w:val="left"/>
            </w:pPr>
            <w:r>
              <w:rPr>
                <w:rFonts w:ascii="Arial" w:hAnsi="Arial" w:eastAsia="等线" w:cs="Arial"/>
                <w:sz w:val="22"/>
              </w:rPr>
              <w:t>反应结果</w:t>
            </w:r>
          </w:p>
        </w:tc>
        <w:tc>
          <w:tcPr>
            <w:tcW w:w="2415" w:type="dxa"/>
            <w:tcMar>
              <w:top w:w="60" w:type="dxa"/>
              <w:left w:w="120" w:type="dxa"/>
              <w:bottom w:w="30" w:type="dxa"/>
              <w:right w:w="120" w:type="dxa"/>
            </w:tcMar>
          </w:tcPr>
          <w:p w14:paraId="7760DFE3">
            <w:pPr>
              <w:spacing w:before="120" w:after="120" w:line="288" w:lineRule="auto"/>
              <w:ind w:left="0"/>
              <w:jc w:val="left"/>
            </w:pPr>
            <w:r>
              <w:rPr>
                <w:rFonts w:ascii="Arial" w:hAnsi="Arial" w:eastAsia="等线" w:cs="Arial"/>
                <w:sz w:val="22"/>
              </w:rPr>
              <w:t>探针整体共价连接到蛋白上</w:t>
            </w:r>
          </w:p>
        </w:tc>
        <w:tc>
          <w:tcPr>
            <w:tcW w:w="3450" w:type="dxa"/>
            <w:tcMar>
              <w:top w:w="60" w:type="dxa"/>
              <w:left w:w="120" w:type="dxa"/>
              <w:bottom w:w="30" w:type="dxa"/>
              <w:right w:w="120" w:type="dxa"/>
            </w:tcMar>
          </w:tcPr>
          <w:p w14:paraId="4B69C9E8">
            <w:pPr>
              <w:spacing w:before="120" w:after="120" w:line="288" w:lineRule="auto"/>
              <w:ind w:left="0"/>
              <w:jc w:val="left"/>
            </w:pPr>
            <w:r>
              <w:rPr>
                <w:rFonts w:ascii="Arial" w:hAnsi="Arial" w:eastAsia="等线" w:cs="Arial"/>
                <w:sz w:val="22"/>
              </w:rPr>
              <w:t>仅报告基团转移至蛋白靶残基，配体部分完全脱落</w:t>
            </w:r>
          </w:p>
        </w:tc>
      </w:tr>
      <w:tr w14:paraId="743812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tcPr>
          <w:p w14:paraId="319C04C0">
            <w:pPr>
              <w:spacing w:before="120" w:after="120" w:line="288" w:lineRule="auto"/>
              <w:ind w:left="0"/>
              <w:jc w:val="left"/>
            </w:pPr>
            <w:r>
              <w:rPr>
                <w:rFonts w:ascii="Arial" w:hAnsi="Arial" w:eastAsia="等线" w:cs="Arial"/>
                <w:sz w:val="22"/>
              </w:rPr>
              <w:t>结合口袋状态</w:t>
            </w:r>
          </w:p>
        </w:tc>
        <w:tc>
          <w:tcPr>
            <w:tcW w:w="2415" w:type="dxa"/>
            <w:tcMar>
              <w:top w:w="60" w:type="dxa"/>
              <w:left w:w="120" w:type="dxa"/>
              <w:bottom w:w="30" w:type="dxa"/>
              <w:right w:w="120" w:type="dxa"/>
            </w:tcMar>
          </w:tcPr>
          <w:p w14:paraId="3EDD3498">
            <w:pPr>
              <w:spacing w:before="120" w:after="120" w:line="288" w:lineRule="auto"/>
              <w:ind w:left="0"/>
              <w:jc w:val="left"/>
            </w:pPr>
            <w:r>
              <w:rPr>
                <w:rFonts w:ascii="Arial" w:hAnsi="Arial" w:eastAsia="等线" w:cs="Arial"/>
                <w:sz w:val="22"/>
              </w:rPr>
              <w:t>永久占据（通常导致蛋白功能抑制）</w:t>
            </w:r>
          </w:p>
        </w:tc>
        <w:tc>
          <w:tcPr>
            <w:tcW w:w="3450" w:type="dxa"/>
            <w:tcMar>
              <w:top w:w="60" w:type="dxa"/>
              <w:left w:w="120" w:type="dxa"/>
              <w:bottom w:w="30" w:type="dxa"/>
              <w:right w:w="120" w:type="dxa"/>
            </w:tcMar>
          </w:tcPr>
          <w:p w14:paraId="7EF98032">
            <w:pPr>
              <w:spacing w:before="120" w:after="120" w:line="288" w:lineRule="auto"/>
              <w:ind w:left="0"/>
              <w:jc w:val="left"/>
            </w:pPr>
            <w:r>
              <w:rPr>
                <w:rFonts w:ascii="Arial" w:hAnsi="Arial" w:eastAsia="等线" w:cs="Arial"/>
                <w:sz w:val="22"/>
              </w:rPr>
              <w:t>恢复空载，可正常结合天然配体或其他分子</w:t>
            </w:r>
          </w:p>
        </w:tc>
      </w:tr>
      <w:tr w14:paraId="500A33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tcPr>
          <w:p w14:paraId="5143DB84">
            <w:pPr>
              <w:spacing w:before="120" w:after="120" w:line="288" w:lineRule="auto"/>
              <w:ind w:left="0"/>
              <w:jc w:val="left"/>
            </w:pPr>
            <w:r>
              <w:rPr>
                <w:rFonts w:ascii="Arial" w:hAnsi="Arial" w:eastAsia="等线" w:cs="Arial"/>
                <w:sz w:val="22"/>
              </w:rPr>
              <w:t>目标残基</w:t>
            </w:r>
          </w:p>
        </w:tc>
        <w:tc>
          <w:tcPr>
            <w:tcW w:w="2415" w:type="dxa"/>
            <w:tcMar>
              <w:top w:w="60" w:type="dxa"/>
              <w:left w:w="120" w:type="dxa"/>
              <w:bottom w:w="30" w:type="dxa"/>
              <w:right w:w="120" w:type="dxa"/>
            </w:tcMar>
          </w:tcPr>
          <w:p w14:paraId="7597C11A">
            <w:pPr>
              <w:spacing w:before="120" w:after="120" w:line="288" w:lineRule="auto"/>
              <w:ind w:left="0"/>
              <w:jc w:val="left"/>
            </w:pPr>
            <w:r>
              <w:rPr>
                <w:rFonts w:ascii="Arial" w:hAnsi="Arial" w:eastAsia="等线" w:cs="Arial"/>
                <w:sz w:val="22"/>
              </w:rPr>
              <w:t>多为活性中心的高亲核性催化残基</w:t>
            </w:r>
          </w:p>
        </w:tc>
        <w:tc>
          <w:tcPr>
            <w:tcW w:w="3450" w:type="dxa"/>
            <w:tcMar>
              <w:top w:w="60" w:type="dxa"/>
              <w:left w:w="120" w:type="dxa"/>
              <w:bottom w:w="30" w:type="dxa"/>
              <w:right w:w="120" w:type="dxa"/>
            </w:tcMar>
          </w:tcPr>
          <w:p w14:paraId="1D9CCB58">
            <w:pPr>
              <w:spacing w:before="120" w:after="120" w:line="288" w:lineRule="auto"/>
              <w:ind w:left="0"/>
              <w:jc w:val="left"/>
            </w:pPr>
            <w:r>
              <w:rPr>
                <w:rFonts w:ascii="Arial" w:hAnsi="Arial" w:eastAsia="等线" w:cs="Arial"/>
                <w:sz w:val="22"/>
              </w:rPr>
              <w:t>结合口袋附近的表面非催化残基（Lys、His、Tyr等）</w:t>
            </w:r>
          </w:p>
        </w:tc>
      </w:tr>
      <w:tr w14:paraId="0DA70B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tcPr>
          <w:p w14:paraId="5EB59740">
            <w:pPr>
              <w:spacing w:before="120" w:after="120" w:line="288" w:lineRule="auto"/>
              <w:ind w:left="0"/>
              <w:jc w:val="left"/>
            </w:pPr>
            <w:r>
              <w:rPr>
                <w:rFonts w:ascii="Arial" w:hAnsi="Arial" w:eastAsia="等线" w:cs="Arial"/>
                <w:sz w:val="22"/>
              </w:rPr>
              <w:t>主要应用</w:t>
            </w:r>
          </w:p>
        </w:tc>
        <w:tc>
          <w:tcPr>
            <w:tcW w:w="2415" w:type="dxa"/>
            <w:tcMar>
              <w:top w:w="60" w:type="dxa"/>
              <w:left w:w="120" w:type="dxa"/>
              <w:bottom w:w="30" w:type="dxa"/>
              <w:right w:w="120" w:type="dxa"/>
            </w:tcMar>
          </w:tcPr>
          <w:p w14:paraId="77A9E2BB">
            <w:pPr>
              <w:spacing w:before="120" w:after="120" w:line="288" w:lineRule="auto"/>
              <w:ind w:left="0"/>
              <w:jc w:val="left"/>
            </w:pPr>
            <w:r>
              <w:rPr>
                <w:rFonts w:ascii="Arial" w:hAnsi="Arial" w:eastAsia="等线" w:cs="Arial"/>
                <w:sz w:val="22"/>
              </w:rPr>
              <w:t>酶活性分析、抑制剂筛选</w:t>
            </w:r>
          </w:p>
        </w:tc>
        <w:tc>
          <w:tcPr>
            <w:tcW w:w="3450" w:type="dxa"/>
            <w:tcMar>
              <w:top w:w="60" w:type="dxa"/>
              <w:left w:w="120" w:type="dxa"/>
              <w:bottom w:w="30" w:type="dxa"/>
              <w:right w:w="120" w:type="dxa"/>
            </w:tcMar>
          </w:tcPr>
          <w:p w14:paraId="39C975EE">
            <w:pPr>
              <w:spacing w:before="120" w:after="120" w:line="288" w:lineRule="auto"/>
              <w:ind w:left="0"/>
              <w:jc w:val="left"/>
            </w:pPr>
            <w:r>
              <w:rPr>
                <w:rFonts w:ascii="Arial" w:hAnsi="Arial" w:eastAsia="等线" w:cs="Arial"/>
                <w:sz w:val="22"/>
              </w:rPr>
              <w:t>活细胞成像、受体动力学研究、靶向蛋白降解</w:t>
            </w:r>
          </w:p>
        </w:tc>
      </w:tr>
      <w:tr w14:paraId="7AA859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tcPr>
          <w:p w14:paraId="397F851A">
            <w:pPr>
              <w:spacing w:before="120" w:after="120" w:line="288" w:lineRule="auto"/>
              <w:ind w:left="0"/>
              <w:jc w:val="left"/>
            </w:pPr>
            <w:r>
              <w:rPr>
                <w:rFonts w:ascii="Arial" w:hAnsi="Arial" w:eastAsia="等线" w:cs="Arial"/>
                <w:sz w:val="22"/>
              </w:rPr>
              <w:t>代表化学</w:t>
            </w:r>
          </w:p>
        </w:tc>
        <w:tc>
          <w:tcPr>
            <w:tcW w:w="2415" w:type="dxa"/>
            <w:tcMar>
              <w:top w:w="60" w:type="dxa"/>
              <w:left w:w="120" w:type="dxa"/>
              <w:bottom w:w="30" w:type="dxa"/>
              <w:right w:w="120" w:type="dxa"/>
            </w:tcMar>
          </w:tcPr>
          <w:p w14:paraId="2923D110">
            <w:pPr>
              <w:spacing w:before="120" w:after="120" w:line="288" w:lineRule="auto"/>
              <w:ind w:left="0"/>
              <w:jc w:val="left"/>
            </w:pPr>
            <w:r>
              <w:rPr>
                <w:rFonts w:ascii="Arial" w:hAnsi="Arial" w:eastAsia="等线" w:cs="Arial"/>
                <w:sz w:val="22"/>
              </w:rPr>
              <w:t>丙烯酰胺、卤代乙酰胺、氟磷酸酯</w:t>
            </w:r>
          </w:p>
        </w:tc>
        <w:tc>
          <w:tcPr>
            <w:tcW w:w="3450" w:type="dxa"/>
            <w:tcMar>
              <w:top w:w="60" w:type="dxa"/>
              <w:left w:w="120" w:type="dxa"/>
              <w:bottom w:w="30" w:type="dxa"/>
              <w:right w:w="120" w:type="dxa"/>
            </w:tcMar>
          </w:tcPr>
          <w:p w14:paraId="399CDE7A">
            <w:pPr>
              <w:spacing w:before="120" w:after="120" w:line="288" w:lineRule="auto"/>
              <w:ind w:left="0"/>
              <w:jc w:val="left"/>
            </w:pPr>
            <w:r>
              <w:rPr>
                <w:rFonts w:ascii="Arial" w:hAnsi="Arial" w:eastAsia="等线" w:cs="Arial"/>
                <w:sz w:val="22"/>
              </w:rPr>
              <w:t>苯磺酸酯(LDT)、酰基咪唑(LDAI)、二溴苯甲酸酯(LDBB)、N-磺酰吡啶酮(LDSP)、NASA</w:t>
            </w:r>
          </w:p>
        </w:tc>
      </w:tr>
    </w:tbl>
    <w:p w14:paraId="483A50C8">
      <w:pPr>
        <w:spacing w:before="260" w:after="120" w:line="360" w:lineRule="auto"/>
        <w:ind w:left="0" w:firstLine="0"/>
        <w:jc w:val="left"/>
        <w:outlineLvl w:val="1"/>
      </w:pPr>
      <w:bookmarkStart w:id="7" w:name="heading_7"/>
      <w:r>
        <w:rPr>
          <w:rFonts w:ascii="Times New Roman" w:hAnsi="Times New Roman" w:eastAsia="黑体" w:cs="Times New Roman"/>
          <w:b/>
          <w:sz w:val="28"/>
          <w:szCs w:val="28"/>
        </w:rPr>
        <w:t>3 配体导向转移共价探针弹头化学结构的发展</w:t>
      </w:r>
      <w:bookmarkEnd w:id="7"/>
    </w:p>
    <w:p w14:paraId="3FE75F40">
      <w:pPr>
        <w:spacing w:before="120" w:after="60" w:line="360" w:lineRule="auto"/>
        <w:ind w:left="0" w:firstLine="0"/>
        <w:jc w:val="left"/>
        <w:outlineLvl w:val="2"/>
      </w:pPr>
      <w:bookmarkStart w:id="8" w:name="heading_8"/>
      <w:r>
        <w:rPr>
          <w:rFonts w:ascii="Times New Roman" w:hAnsi="Times New Roman" w:eastAsia="黑体" w:cs="Times New Roman"/>
          <w:b/>
          <w:sz w:val="24"/>
          <w:szCs w:val="24"/>
        </w:rPr>
        <w:t>3.1 第一代转移试剂：活性酯、二溴苯甲酸酯、磺酰吡啶酮与DMAP催化</w:t>
      </w:r>
      <w:bookmarkEnd w:id="8"/>
    </w:p>
    <w:p w14:paraId="62507A60">
      <w:pPr>
        <w:spacing w:before="0" w:after="0" w:line="360" w:lineRule="auto"/>
        <w:ind w:left="0" w:firstLine="480"/>
        <w:jc w:val="both"/>
      </w:pPr>
      <w:r>
        <w:rPr>
          <w:rFonts w:ascii="Times New Roman" w:hAnsi="Times New Roman" w:eastAsia="宋体" w:cs="Times New Roman"/>
          <w:b w:val="0"/>
          <w:sz w:val="24"/>
          <w:szCs w:val="24"/>
        </w:rPr>
        <w:t>初代转移试剂主要分为五大类，按研发时间依次为配体导向DMAP催化酰基化、配体导向甲苯磺酸酯（LDT）化学、配体导向酰基咪唑（LDAI）化学，共同奠定了后续同类探针的发展基础，早期均以碳酸酐酶、凝集素、FKBP12等模型蛋白为验证靶点，逐步拓展至活细胞体系。</w:t>
      </w:r>
    </w:p>
    <w:p w14:paraId="33D2CCAE">
      <w:pPr>
        <w:spacing w:before="0" w:after="0" w:line="360" w:lineRule="auto"/>
        <w:ind w:left="0" w:firstLine="480"/>
        <w:jc w:val="both"/>
      </w:pPr>
      <w:r>
        <w:rPr>
          <w:rFonts w:ascii="Times New Roman" w:hAnsi="Times New Roman" w:eastAsia="宋体" w:cs="Times New Roman"/>
          <w:b w:val="0"/>
          <w:sz w:val="24"/>
          <w:szCs w:val="24"/>
        </w:rPr>
        <w:t>配体导向DMAP催化酰基化（Affinity-guided DMAP acylation）：Hamachi团队2006-2008年开发的最早初代转移型标记体系，是LDT化学的雏形。该策略将高亲和力配体与4-二甲氨基吡啶（DMAP）催化剂偶联，依托配体靶向将DMAP锚定在靶蛋白表面，局部催化酰基供体与蛋白残基的酰基转移反应，实现蛋白特异性酰基化标记，反应后配体-DMAP部分完全解离，实现无痕修饰。核心靶向赖氨酸、酪氨酸残基，率先验证了"邻位催化触发无痕标记"的思路，为后续LDT与LDAI化学提供了设计原型，已成功应用于凝集素、碳酸酐酶等蛋白的体外特异性标记[41]。</w:t>
      </w:r>
    </w:p>
    <w:p w14:paraId="18159E2A">
      <w:pPr>
        <w:spacing w:before="0" w:after="0" w:line="360" w:lineRule="auto"/>
        <w:ind w:left="0" w:firstLine="480"/>
        <w:jc w:val="both"/>
      </w:pPr>
      <w:r>
        <w:rPr>
          <w:rFonts w:ascii="Times New Roman" w:hAnsi="Times New Roman" w:eastAsia="宋体" w:cs="Times New Roman"/>
          <w:b w:val="0"/>
          <w:sz w:val="24"/>
          <w:szCs w:val="24"/>
        </w:rPr>
        <w:t>配体导向甲苯磺酸酯（Ligand-Directed Tosyl, LDT）化学：Hamachi课题组2009年正式发表的里程碑式LDT技术，是首款可用于活细胞与活体的初代转移试剂，以苯基磺酸酯作为核心反应基团，配体通过磺酸酯键与报告基团相连。当配体结合至目标蛋白后，蛋白表面的亲核残基（His、Tyr、Glu、Lys）攻击酯键，导致磺酸根与配体一同离去，最终将报告基团共价转移至靶蛋白上。该技术首次实现了活细胞内源性蛋白的配体导向无痕标记，概念上具有开创性，核心局限在于生理pH下水解稳定性一般、反应速率偏慢，在复杂生物体系中适用性受限，原始核心文献发表于《Nature Chemical Biology》，是LDT领域的奠基性工作[42]。</w:t>
      </w:r>
    </w:p>
    <w:p w14:paraId="1F2D1187">
      <w:pPr>
        <w:spacing w:before="0" w:after="0" w:line="360" w:lineRule="auto"/>
        <w:ind w:left="0" w:firstLine="480"/>
        <w:jc w:val="both"/>
      </w:pPr>
      <w:r>
        <w:rPr>
          <w:rFonts w:ascii="Times New Roman" w:hAnsi="Times New Roman" w:eastAsia="宋体" w:cs="Times New Roman"/>
          <w:b w:val="0"/>
          <w:sz w:val="24"/>
          <w:szCs w:val="24"/>
        </w:rPr>
        <w:t>配体导向酰基咪唑（Ligand-Directed Acyl Imidazole, LDAI）化学：Hamachi团队2012年在LDT基础上优化开发的初代转移试剂，属于活性酯类衍生化学，酰基咪唑是中等活性的酰胺等排体。相较于LDT，LDAI试剂水解稳定性小幅提升，反应速率更适配活细胞体系，反应过程受结合口袋周围微环境的pH和静电性质精准驱动，对蛋白表面残基标记特异性更优[43]。该技术已被广泛用于AMPA受体、GABA受体、Mu阿片受体等膜蛋白的活细胞标记，其核心短板仍存在一定固有反应性，部分体系中会产生微弱非特异性背景标记，属于第一代转移试剂向第二代NASA化学过渡的关键技术[14]。</w:t>
      </w:r>
    </w:p>
    <w:p w14:paraId="714E606F">
      <w:pPr>
        <w:spacing w:line="360" w:lineRule="auto"/>
        <w:ind w:firstLine="340"/>
        <w:jc w:val="both"/>
      </w:pPr>
      <w:r>
        <w:rPr>
          <w:rFonts w:ascii="Times New Roman" w:hAnsi="Times New Roman" w:eastAsia="宋体"/>
          <w:sz w:val="24"/>
          <w:szCs w:val="24"/>
        </w:rPr>
        <w:t>配体导向二溴苯甲酸酯（Ligand-Directed dibromophenyl Benzoate, LDBB）化学：Hamachi团队2015年发表的初代转移试剂的进一步优化。以邻二溴苯基苯甲酸酯替代磺酸酯和咪唑作为离去基团，二溴苯酚的pKa（~5.5）使其离去能力远优于甲苯磺酸根，同时苯环的位阻效应有效抑制了游离状态下的水解。与LDT相比，LDBB的胞内标记半衰期缩短至约30 min（LDT需数小时），水解稳定性显著提升（&lt;10%水解/13 h），首次实现了内源性胞内蛋白（碳酸酐酶II/XII）的高效荧光标记和多色成像[17]。</w:t>
      </w:r>
    </w:p>
    <w:p w14:paraId="157E2494">
      <w:pPr>
        <w:spacing w:line="360" w:lineRule="auto"/>
        <w:ind w:firstLine="340"/>
        <w:jc w:val="both"/>
      </w:pPr>
      <w:r>
        <w:rPr>
          <w:rFonts w:ascii="Times New Roman" w:hAnsi="Times New Roman" w:eastAsia="宋体"/>
          <w:sz w:val="24"/>
          <w:szCs w:val="24"/>
        </w:rPr>
        <w:t>配体导向N-磺酰吡啶酮（Ligand-Directed N-Sulfonyl Pyridone, LDSP）化学：Hamachi团队2017年报道的初代转移试剂的另一创新方向。以N-磺酰吡啶酮（SP）作为反应基团，首次将LDT技术从酰基化拓展至磺酰化反应模式——蛋白表面Lys/Cys/His残基亲核进攻SP环，触发N-S键断裂，磺酰基-报告基团转移至蛋白，配体-吡啶酮部分完全解离。LDSP对细胞表面和胞内蛋白均表现出优于LDAI的标记速率和特异性，已被成功用于将内源性蛋白原位转化为FRET生物传感器[18]。尽管上述初代试剂在不同维度取得了突破，但其共有的酯类骨架在生理条件下的水解稳定性和反应速率仍难以满足活体应用需求。这一瓶颈直接推动了第二代NASA化学的诞生。</w:t>
      </w:r>
    </w:p>
    <w:p w14:paraId="6F7358A6">
      <w:pPr>
        <w:spacing w:before="120" w:after="60" w:line="360" w:lineRule="auto"/>
        <w:ind w:left="0" w:firstLine="0"/>
        <w:jc w:val="left"/>
        <w:outlineLvl w:val="2"/>
      </w:pPr>
      <w:bookmarkStart w:id="9" w:name="heading_9"/>
      <w:r>
        <w:rPr>
          <w:rFonts w:ascii="Times New Roman" w:hAnsi="Times New Roman" w:eastAsia="黑体" w:cs="Times New Roman"/>
          <w:b/>
          <w:sz w:val="24"/>
          <w:szCs w:val="24"/>
        </w:rPr>
        <w:t>3.2 第二代转移试剂：N-酰基-N-烷基磺酰胺（NASA）及其衍生物</w:t>
      </w:r>
      <w:bookmarkEnd w:id="9"/>
    </w:p>
    <w:p>
      <w:pPr>
        <w:jc w:val="both"/>
        <w:spacing w:line="360" w:lineRule="auto"/>
        <w:ind w:firstLine="340"/>
      </w:pPr>
      <w:r>
        <w:rPr>
          <w:rFonts w:ascii="Times New Roman" w:hAnsi="Times New Roman" w:eastAsia="宋体"/>
          <w:sz w:val="24"/>
          <w:szCs w:val="24"/>
        </w:rPr>
        <w:t xml:space="preserve">配体导向N-酰基-N-烷基磺酰胺（LDNASA）化学：Hamachi团队于2013年首次探索、2018年系统奠基的第二代LDT化学[44]。其核心创新在于以磺酰胺键（N-SO₂-CO）替代初代酯键（O-CO），天然实现酰基供体与离去基团的模块化分离——酰基碳亲电性和离去能力可双维度独立调控。反应遵循配体结合→邻近触发→N-S断裂→酰基转移的级联机制：游离探针化学惰性（水解半衰期≥43 h），配体结合后邻近效应推动Lys ε-NH₂进攻酰基碳，N-S键选择性断裂，酰基-报告基团转移至蛋白，磺酰胺-配体完全脱落。以FKBP12为模型，kL较LDT提升635倍、较LDAI提升2241倍，kL/Kd达~10⁴ M⁻¹s⁻¹。该工作实现了活细胞内源性FKBP12和叶酸受体的分钟级荧光标记，并开发了首款靶向非催化Lys（Lys58/Lys112）的Hsp90不可逆共价抑制剂（IC₅₀≈1.5 μM）[44]。但强吸电子取代基导致含血清环境中约40%有效浓度损失，在低丰度靶标中信噪比&lt;3:1，直接驱动了ArNASA的理性设计。</w:t>
      </w:r>
    </w:p>
    <w:p>
      <w:pPr>
        <w:jc w:val="both"/>
        <w:spacing w:line="360" w:lineRule="auto"/>
        <w:ind w:firstLine="340"/>
      </w:pPr>
      <w:r>
        <w:rPr>
          <w:rFonts w:ascii="Times New Roman" w:hAnsi="Times New Roman" w:eastAsia="宋体"/>
          <w:sz w:val="24"/>
          <w:szCs w:val="24"/>
        </w:rPr>
        <w:t xml:space="preserve">N-酰基-N-芳基磺酰胺（ArNASA）：Kawano等将N-烷基替换为N-芳基，通过芳环π共轭的电子调控和刚性位阻屏蔽，将水解半衰期延长至&gt;72 h，血清中非特异性背景降低&gt;90%，信噪比&gt;30:1[40]。标志性应用是首款依鲁替尼耐药BTK C481S突变体不可逆抑制剂——C481S突变将Cys替换为Ser使传统共价药物失效，ArNASA转而靶向保守Lys430，为克服临床耐药提供了"从Cys到Lys"的新范式。在此基础上建立了系统的活性调谐策略（芳磺酰基位置效应、杂环替代、N-烷基α-支链化），靶向残基从Lys拓展至Tyr和Ser[2]。此外，基于NASA骨架还发展了Photo-NASA和LD-TMAc两大功能化分支，分别实现光控时空标记和级联信号放大，详见3.3节。</w:t>
      </w:r>
    </w:p>
    <w:p>
      <w:pPr>
        <w:jc w:val="both"/>
        <w:spacing w:line="360" w:lineRule="auto"/>
        <w:ind w:firstLine="340"/>
      </w:pPr>
      <w:r>
        <w:rPr>
          <w:rFonts w:ascii="Times New Roman" w:hAnsi="Times New Roman" w:eastAsia="宋体"/>
          <w:sz w:val="24"/>
          <w:szCs w:val="24"/>
        </w:rPr>
        <w:t>共价配体导向释放（CoLDR）化学：London团队于2021年独立报道了基于加成-消除机制的配体导向无痕转移体系[28,29]，是继Hamachi团队之后第二个实现该设计理念的化学平台。第一代CoLDR以α-取代甲基丙烯酰胺为弹头[28,29]。以α-取代甲基丙烯酰胺为弹头，配体连接于α-取代基上。配体结合靶蛋白后，活性位点Cys巯基对β-碳进行共轭加成，触发α-取代基的消除反应，配体随之释放，荧光团/报告基团共价转移至蛋白。该机制与NASA的N-S酰基转移截然不同——以Cys为靶残基、通过加成-消除实现无痕转移。通过调节α-取代基的pKa，弹头反应性可在6个数量级内连续调谐，已成功用于BTK、EGFR和K-RasG12C的共价标记及荧光点亮探针设计[28]。同年，该团队进一步展示了CoLDR在内源性蛋白位点特异性标记中的通用性——在保留BTK、K-RasG12C和SARS-CoV-2 PLpro天然活性的前提下实现荧光团、炔基或PROTAC招募基团的共价安装，并开发了首款CoLDR基BTK PROTAC（DC₅₀&lt;100 nM）[29]。2023年，该团队进一步开发了氨基磺酸乙酰胺自牺牲弹头，实现了活体小鼠模型中的CoLDR标记[30]。</w:t>
      </w:r>
    </w:p>
    <w:p>
      <w:pPr>
        <w:jc w:val="both"/>
        <w:spacing w:line="360" w:lineRule="auto"/>
        <w:ind w:firstLine="340"/>
      </w:pPr>
      <w:r>
        <w:rPr>
          <w:rFonts w:ascii="Times New Roman" w:hAnsi="Times New Roman" w:eastAsia="宋体"/>
          <w:sz w:val="24"/>
          <w:szCs w:val="24"/>
        </w:rPr>
        <w:t xml:space="preserve">NASA化学已应用于腺苷A₁/A₂A/A₂B、大麻素CB₂、Mu阿片受体等多种GPCR的活细胞内源性荧光标记。LDT标记后配体完全脱落，受体恢复空载，可在保留激活能力的前提下实时追踪内吞与循环全过程[4,30]。在共价药物领域，Ueda等发现NASA还可修饰N端α-胺和Tyr67，实现了HDM2/p53蛋白-蛋白相互作用的共价抑制[3]。Teng等将NASA与PROTAC结合开发了CoLDR技术，实现CDK2共价标记驱动的靶向降解[29]；Chen等建立了通用CoLDR平台，在FR、MEK2上实现内源性蛋白的共价标记驱动降解[9]。此外，Thimaradka等开发了His-tag/Ni²⁺-NTA-NASA系统用于重组蛋白位点特异性功能化[2]。</w:t>
      </w:r>
    </w:p>
    <w:p w14:paraId="009CB2F4">
      <w:pPr>
        <w:spacing w:before="120" w:after="60" w:line="360" w:lineRule="auto"/>
        <w:ind w:left="0" w:firstLine="0"/>
        <w:jc w:val="left"/>
        <w:outlineLvl w:val="2"/>
      </w:pPr>
      <w:bookmarkStart w:id="10" w:name="heading_10"/>
      <w:r>
        <w:rPr>
          <w:rFonts w:ascii="Times New Roman" w:hAnsi="Times New Roman" w:eastAsia="黑体" w:cs="Times New Roman"/>
          <w:b/>
          <w:sz w:val="24"/>
          <w:szCs w:val="24"/>
        </w:rPr>
        <w:t>3.3 第三代：功能化与智能化LDT探针体系</w:t>
      </w:r>
      <w:bookmarkEnd w:id="10"/>
    </w:p>
    <w:p>
      <w:pPr>
        <w:jc w:val="both"/>
        <w:spacing w:line="360" w:lineRule="auto"/>
        <w:ind w:firstLine="340"/>
      </w:pPr>
      <w:r>
        <w:rPr>
          <w:rFonts w:ascii="Times New Roman" w:hAnsi="Times New Roman" w:eastAsia="宋体"/>
          <w:sz w:val="24"/>
          <w:szCs w:val="24"/>
        </w:rPr>
        <w:t>第二代NASA/ArNASA在活体组织中仍面临三项局限：标记自发触发无法时空控制、单点修饰对低丰度靶标信噪比不足。第三代探针沿两条逻辑突破：触发外部化（配体结合+光照双逻辑门）和信号多价化（级联转移多个报告基团），分别催生了Photo-NASA与LD-TMAc。同期，London团队也在推进CoLDR的迭代优化，2023年报道了第二代弹头氨基磺酸乙酰胺，实现了活体小鼠模型中的CoLDR标记[30]。</w:t>
      </w:r>
    </w:p>
    <w:p>
      <w:pPr>
        <w:jc w:val="both"/>
        <w:spacing w:line="360" w:lineRule="auto"/>
        <w:ind w:firstLine="340"/>
      </w:pPr>
      <w:r>
        <w:rPr>
          <w:rFonts w:ascii="Times New Roman" w:hAnsi="Times New Roman" w:eastAsia="宋体"/>
          <w:sz w:val="24"/>
          <w:szCs w:val="24"/>
        </w:rPr>
        <w:t xml:space="preserve">Photo-NASA：在NASA的N-烷基位引入光可移除保护基（PPG），实现"配体结合AND光照"双逻辑门控的时空可控标记[45]。未光照时弹头完全惰性，消除预标记噪音；光照触发PPG光解，释放活性NASA完成酰基转移。常用PPG包括邻硝基苄基（λmax≈365 nm）、香豆素亚甲基（λmax≈390 nm）和BODIPY（λmax≈530 nm），双光子激发（720-800 nm）将反应限制在~1 μm³焦点内，实现亚细胞分辨。Photo-NASA在活体肿瘤模型中选择性&gt;50:1，在脑皮层单个树突棘已实现AMPA受体标记与&gt;48 h追踪[45]。利用不同波长PPG的正交光解特性，可在同一细胞内实现多受体的时序标记。</w:t>
      </w:r>
    </w:p>
    <w:p>
      <w:pPr>
        <w:jc w:val="both"/>
        <w:spacing w:line="360" w:lineRule="auto"/>
        <w:ind w:firstLine="340"/>
      </w:pPr>
      <w:r>
        <w:rPr>
          <w:rFonts w:ascii="Times New Roman" w:hAnsi="Times New Roman" w:eastAsia="宋体"/>
          <w:sz w:val="24"/>
          <w:szCs w:val="24"/>
        </w:rPr>
        <w:t xml:space="preserve">LD-TMAc：Tamura/Chen等以四甲基丙烯酰基（TMAc）替代NASA酰基作为可转移亲电体[24]。配体锚定后，首个TMAc与邻近Lys发生1,4-共轭加成，口袋周边其他Lys继续捕获游离TMAc-报告基团，将"一对一"化学计量转变为"一对多"级联标记。以FKBP12为模型，LD-TMAc平均引入3.2个荧光基团/蛋白（NASA为0.85个），信号增益3.8倍；靶蛋白丰度降至10³ copies/cell时仍维持信噪比&gt;8:1，检测下限约5×10² copies/cell[9,24]。独立于该工作，Thayumanavan团队于2023年报道了基于吡啶鎓离去基的触发型迈克尔受体（LD-TMAcs），配体通过吡啶鎓与TMAc连接，蛋白亲核进攻触发SN2'消除使配体-吡啶鎓离去，可在单个蛋白上标记6-7个位点、覆盖13种氨基酸类型，并成功用于活细胞膜蛋白CA XII的选择性标记[31]。LD-TMAc还可通过鉴定被标记Lys位点实现"足迹映射"，重构配体结合取向，不同配体结合模式的标记图谱重叠率&lt;30%[24]。该技术已用于临床肿瘤活检中NTRK融合蛋白等低丰度靶标的高灵敏检测[9]。</w:t>
      </w:r>
    </w:p>
    <w:p w14:paraId="68438023">
      <w:pPr>
        <w:spacing w:before="120" w:after="60" w:line="360" w:lineRule="auto"/>
        <w:ind w:left="0" w:firstLine="0"/>
        <w:jc w:val="left"/>
        <w:outlineLvl w:val="2"/>
      </w:pPr>
      <w:bookmarkStart w:id="13" w:name="heading_15"/>
      <w:r>
        <w:rPr>
          <w:rFonts w:ascii="Times New Roman" w:hAnsi="Times New Roman" w:eastAsia="黑体" w:cs="Times New Roman"/>
          <w:b/>
          <w:sz w:val="24"/>
          <w:szCs w:val="24"/>
        </w:rPr>
        <w:t>3.4 主流弹头化学特性综合对比</w:t>
      </w:r>
      <w:bookmarkEnd w:id="13"/>
    </w:p>
    <w:p w14:paraId="58E0B85E">
      <w:pPr>
        <w:spacing w:before="0" w:after="0" w:line="360" w:lineRule="auto"/>
        <w:ind w:left="0" w:firstLine="480"/>
        <w:jc w:val="both"/>
      </w:pPr>
      <w:r>
        <w:rPr>
          <w:rFonts w:ascii="Times New Roman" w:hAnsi="Times New Roman" w:eastAsia="宋体" w:cs="Times New Roman"/>
          <w:b w:val="0"/>
          <w:sz w:val="24"/>
          <w:szCs w:val="24"/>
        </w:rPr>
        <w:t>为直观展示不同弹头的核心性能差异，下表总结了当前主流邻位驱动弹头的关键参数与应用场景，如表2所示。</w:t>
      </w:r>
    </w:p>
    <w:p w14:paraId="566B162C">
      <w:pPr>
        <w:spacing w:before="120" w:after="60" w:line="360" w:lineRule="auto"/>
        <w:ind w:left="0" w:firstLine="0"/>
        <w:jc w:val="center"/>
      </w:pPr>
      <w:r>
        <w:rPr>
          <w:rFonts w:ascii="Times New Roman" w:hAnsi="Times New Roman" w:eastAsia="黑体" w:cs="Times New Roman"/>
          <w:b/>
          <w:sz w:val="21"/>
          <w:szCs w:val="21"/>
        </w:rPr>
        <w:t>表2 主流邻位驱动共价弹头的化学特性综合对比</w:t>
      </w:r>
    </w:p>
    <w:tbl>
      <w:tblPr>
        <w:tblStyle w:val="2"/>
        <w:tblW w:w="92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0"/>
        <w:gridCol w:w="1300"/>
        <w:gridCol w:w="1200"/>
        <w:gridCol w:w="1300"/>
        <w:gridCol w:w="1400"/>
        <w:gridCol w:w="1600"/>
        <w:gridCol w:w="1218"/>
      </w:tblGrid>
      <w:tr w14:paraId="0AE03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shd w:val="clear" w:color="auto" w:fill="D9E2F3"/>
          </w:tcPr>
          <w:p w14:paraId="52B22864">
            <w:pPr>
              <w:spacing w:before="20" w:after="20" w:line="280" w:lineRule="auto"/>
              <w:jc w:val="left"/>
            </w:pPr>
            <w:r>
              <w:rPr>
                <w:rFonts w:ascii="Times New Roman" w:hAnsi="Times New Roman" w:eastAsia="宋体"/>
                <w:b/>
                <w:sz w:val="18"/>
                <w:szCs w:val="18"/>
              </w:rPr>
              <w:t>弹头类型</w:t>
            </w:r>
          </w:p>
        </w:tc>
        <w:tc>
          <w:tcPr>
            <w:tcW w:w="1300" w:type="dxa"/>
            <w:shd w:val="clear" w:color="auto" w:fill="D9E2F3"/>
          </w:tcPr>
          <w:p w14:paraId="74C0310F">
            <w:pPr>
              <w:spacing w:before="20" w:after="20" w:line="280" w:lineRule="auto"/>
              <w:jc w:val="left"/>
            </w:pPr>
            <w:r>
              <w:rPr>
                <w:rFonts w:ascii="Times New Roman" w:hAnsi="Times New Roman" w:eastAsia="宋体"/>
                <w:b/>
                <w:sz w:val="18"/>
                <w:szCs w:val="18"/>
              </w:rPr>
              <w:t>反应模式</w:t>
            </w:r>
          </w:p>
        </w:tc>
        <w:tc>
          <w:tcPr>
            <w:tcW w:w="1200" w:type="dxa"/>
            <w:shd w:val="clear" w:color="auto" w:fill="D9E2F3"/>
          </w:tcPr>
          <w:p w14:paraId="286D9F74">
            <w:pPr>
              <w:spacing w:before="20" w:after="20" w:line="280" w:lineRule="auto"/>
              <w:jc w:val="left"/>
            </w:pPr>
            <w:r>
              <w:rPr>
                <w:rFonts w:ascii="Times New Roman" w:hAnsi="Times New Roman" w:eastAsia="宋体"/>
                <w:b/>
                <w:sz w:val="18"/>
                <w:szCs w:val="18"/>
              </w:rPr>
              <w:t>靶向残基</w:t>
            </w:r>
          </w:p>
        </w:tc>
        <w:tc>
          <w:tcPr>
            <w:tcW w:w="1300" w:type="dxa"/>
            <w:shd w:val="clear" w:color="auto" w:fill="D9E2F3"/>
          </w:tcPr>
          <w:p w14:paraId="3566154F">
            <w:pPr>
              <w:spacing w:before="20" w:after="20" w:line="280" w:lineRule="auto"/>
              <w:jc w:val="left"/>
            </w:pPr>
            <w:r>
              <w:rPr>
                <w:rFonts w:ascii="Times New Roman" w:hAnsi="Times New Roman" w:eastAsia="宋体"/>
                <w:b/>
                <w:sz w:val="18"/>
                <w:szCs w:val="18"/>
              </w:rPr>
              <w:t>kL/Kd (M⁻¹s⁻¹)</w:t>
            </w:r>
          </w:p>
        </w:tc>
        <w:tc>
          <w:tcPr>
            <w:tcW w:w="1400" w:type="dxa"/>
            <w:shd w:val="clear" w:color="auto" w:fill="D9E2F3"/>
          </w:tcPr>
          <w:p w14:paraId="1CAEDD66">
            <w:pPr>
              <w:spacing w:before="20" w:after="20" w:line="280" w:lineRule="auto"/>
              <w:jc w:val="left"/>
            </w:pPr>
            <w:r>
              <w:rPr>
                <w:rFonts w:ascii="Times New Roman" w:hAnsi="Times New Roman" w:eastAsia="宋体"/>
                <w:b/>
                <w:sz w:val="18"/>
                <w:szCs w:val="18"/>
              </w:rPr>
              <w:t>水解半衰期</w:t>
            </w:r>
          </w:p>
        </w:tc>
        <w:tc>
          <w:tcPr>
            <w:tcW w:w="1600" w:type="dxa"/>
            <w:shd w:val="clear" w:color="auto" w:fill="D9E2F3"/>
          </w:tcPr>
          <w:p w14:paraId="111ACE68">
            <w:pPr>
              <w:spacing w:before="20" w:after="20" w:line="280" w:lineRule="auto"/>
              <w:jc w:val="left"/>
            </w:pPr>
            <w:r>
              <w:rPr>
                <w:rFonts w:ascii="Times New Roman" w:hAnsi="Times New Roman" w:eastAsia="宋体"/>
                <w:b/>
                <w:sz w:val="18"/>
                <w:szCs w:val="18"/>
              </w:rPr>
              <w:t>核心优势</w:t>
            </w:r>
          </w:p>
        </w:tc>
        <w:tc>
          <w:tcPr>
            <w:tcW w:w="1218" w:type="dxa"/>
            <w:shd w:val="clear" w:color="auto" w:fill="D9E2F3"/>
          </w:tcPr>
          <w:p w14:paraId="47981F06">
            <w:pPr>
              <w:spacing w:before="20" w:after="20" w:line="280" w:lineRule="auto"/>
              <w:jc w:val="left"/>
            </w:pPr>
            <w:r>
              <w:rPr>
                <w:rFonts w:ascii="Times New Roman" w:hAnsi="Times New Roman" w:eastAsia="宋体"/>
                <w:b/>
                <w:sz w:val="18"/>
                <w:szCs w:val="18"/>
              </w:rPr>
              <w:t>主要局限</w:t>
            </w:r>
          </w:p>
        </w:tc>
      </w:tr>
      <w:tr w14:paraId="3EC29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Pr>
          <w:p w14:paraId="70E5801A">
            <w:pPr>
              <w:spacing w:before="20" w:after="20" w:line="280" w:lineRule="auto"/>
              <w:jc w:val="left"/>
            </w:pPr>
            <w:r>
              <w:rPr>
                <w:rFonts w:ascii="Times New Roman" w:hAnsi="Times New Roman" w:eastAsia="宋体"/>
                <w:sz w:val="18"/>
                <w:szCs w:val="18"/>
              </w:rPr>
              <w:t>DMAP催化</w:t>
            </w:r>
          </w:p>
        </w:tc>
        <w:tc>
          <w:tcPr>
            <w:tcW w:w="1300" w:type="dxa"/>
          </w:tcPr>
          <w:p w14:paraId="74E00AA7">
            <w:pPr>
              <w:spacing w:before="20" w:after="20" w:line="280" w:lineRule="auto"/>
              <w:jc w:val="left"/>
            </w:pPr>
            <w:r>
              <w:rPr>
                <w:rFonts w:ascii="Times New Roman" w:hAnsi="Times New Roman" w:eastAsia="宋体"/>
                <w:sz w:val="18"/>
                <w:szCs w:val="18"/>
              </w:rPr>
              <w:t>催化酰基转移</w:t>
            </w:r>
          </w:p>
        </w:tc>
        <w:tc>
          <w:tcPr>
            <w:tcW w:w="1200" w:type="dxa"/>
          </w:tcPr>
          <w:p w14:paraId="70BA40BF">
            <w:pPr>
              <w:spacing w:before="20" w:after="20" w:line="280" w:lineRule="auto"/>
              <w:jc w:val="left"/>
            </w:pPr>
            <w:r>
              <w:rPr>
                <w:rFonts w:ascii="Times New Roman" w:hAnsi="Times New Roman" w:eastAsia="宋体"/>
                <w:sz w:val="18"/>
                <w:szCs w:val="18"/>
              </w:rPr>
              <w:t>Lys, Tyr</w:t>
            </w:r>
          </w:p>
        </w:tc>
        <w:tc>
          <w:tcPr>
            <w:tcW w:w="1300" w:type="dxa"/>
          </w:tcPr>
          <w:p w14:paraId="04A732BD">
            <w:pPr>
              <w:spacing w:before="20" w:after="20" w:line="280" w:lineRule="auto"/>
              <w:jc w:val="left"/>
            </w:pPr>
            <w:r>
              <w:rPr>
                <w:rFonts w:ascii="Times New Roman" w:hAnsi="Times New Roman" w:eastAsia="宋体"/>
                <w:sz w:val="18"/>
                <w:szCs w:val="18"/>
              </w:rPr>
              <w:t>~10¹-10²</w:t>
            </w:r>
          </w:p>
        </w:tc>
        <w:tc>
          <w:tcPr>
            <w:tcW w:w="1400" w:type="dxa"/>
          </w:tcPr>
          <w:p w14:paraId="520115AE">
            <w:pPr>
              <w:spacing w:before="20" w:after="20" w:line="280" w:lineRule="auto"/>
              <w:jc w:val="left"/>
            </w:pPr>
            <w:r>
              <w:rPr>
                <w:rFonts w:ascii="Times New Roman" w:hAnsi="Times New Roman" w:eastAsia="宋体"/>
                <w:sz w:val="18"/>
                <w:szCs w:val="18"/>
              </w:rPr>
              <w:t>数小时</w:t>
            </w:r>
          </w:p>
        </w:tc>
        <w:tc>
          <w:tcPr>
            <w:tcW w:w="1600" w:type="dxa"/>
          </w:tcPr>
          <w:p w14:paraId="0469D942">
            <w:pPr>
              <w:spacing w:before="20" w:after="20" w:line="280" w:lineRule="auto"/>
              <w:jc w:val="left"/>
            </w:pPr>
            <w:r>
              <w:rPr>
                <w:rFonts w:ascii="Times New Roman" w:hAnsi="Times New Roman" w:eastAsia="宋体"/>
                <w:sz w:val="18"/>
                <w:szCs w:val="18"/>
              </w:rPr>
              <w:t>首个LDT概念验证</w:t>
            </w:r>
          </w:p>
        </w:tc>
        <w:tc>
          <w:tcPr>
            <w:tcW w:w="1218" w:type="dxa"/>
          </w:tcPr>
          <w:p w14:paraId="0BD26FD2">
            <w:pPr>
              <w:spacing w:before="20" w:after="20" w:line="280" w:lineRule="auto"/>
              <w:jc w:val="left"/>
            </w:pPr>
            <w:r>
              <w:rPr>
                <w:rFonts w:ascii="Times New Roman" w:hAnsi="Times New Roman" w:eastAsia="宋体"/>
                <w:sz w:val="18"/>
                <w:szCs w:val="18"/>
              </w:rPr>
              <w:t>需碱性pH，非特异性背景高</w:t>
            </w:r>
          </w:p>
        </w:tc>
      </w:tr>
      <w:tr w14:paraId="1564A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Pr>
          <w:p w14:paraId="79A31DCA">
            <w:pPr>
              <w:spacing w:before="20" w:after="20" w:line="280" w:lineRule="auto"/>
              <w:jc w:val="left"/>
            </w:pPr>
            <w:r>
              <w:rPr>
                <w:rFonts w:ascii="Times New Roman" w:hAnsi="Times New Roman" w:eastAsia="宋体"/>
                <w:sz w:val="18"/>
                <w:szCs w:val="18"/>
              </w:rPr>
              <w:t>LDT-Tosyl</w:t>
            </w:r>
          </w:p>
        </w:tc>
        <w:tc>
          <w:tcPr>
            <w:tcW w:w="1300" w:type="dxa"/>
          </w:tcPr>
          <w:p w14:paraId="20A8FDD2">
            <w:pPr>
              <w:spacing w:before="20" w:after="20" w:line="280" w:lineRule="auto"/>
              <w:jc w:val="left"/>
            </w:pPr>
            <w:r>
              <w:rPr>
                <w:rFonts w:ascii="Times New Roman" w:hAnsi="Times New Roman" w:eastAsia="宋体"/>
                <w:sz w:val="18"/>
                <w:szCs w:val="18"/>
              </w:rPr>
              <w:t>SN2酰基化</w:t>
            </w:r>
          </w:p>
        </w:tc>
        <w:tc>
          <w:tcPr>
            <w:tcW w:w="1200" w:type="dxa"/>
          </w:tcPr>
          <w:p w14:paraId="55DAE631">
            <w:pPr>
              <w:spacing w:before="20" w:after="20" w:line="280" w:lineRule="auto"/>
              <w:jc w:val="left"/>
            </w:pPr>
            <w:r>
              <w:rPr>
                <w:rFonts w:ascii="Times New Roman" w:hAnsi="Times New Roman" w:eastAsia="宋体"/>
                <w:sz w:val="18"/>
                <w:szCs w:val="18"/>
              </w:rPr>
              <w:t>His, Tyr, Glu, Lys</w:t>
            </w:r>
          </w:p>
        </w:tc>
        <w:tc>
          <w:tcPr>
            <w:tcW w:w="1300" w:type="dxa"/>
          </w:tcPr>
          <w:p w14:paraId="18A2F212">
            <w:pPr>
              <w:spacing w:before="20" w:after="20" w:line="280" w:lineRule="auto"/>
              <w:jc w:val="left"/>
            </w:pPr>
            <w:r>
              <w:rPr>
                <w:rFonts w:ascii="Times New Roman" w:hAnsi="Times New Roman" w:eastAsia="宋体"/>
                <w:sz w:val="18"/>
                <w:szCs w:val="18"/>
              </w:rPr>
              <w:t>~10¹-10²</w:t>
            </w:r>
          </w:p>
        </w:tc>
        <w:tc>
          <w:tcPr>
            <w:tcW w:w="1400" w:type="dxa"/>
          </w:tcPr>
          <w:p w14:paraId="5DFDED7A">
            <w:pPr>
              <w:spacing w:before="20" w:after="20" w:line="280" w:lineRule="auto"/>
              <w:jc w:val="left"/>
            </w:pPr>
            <w:r>
              <w:rPr>
                <w:rFonts w:ascii="Times New Roman" w:hAnsi="Times New Roman" w:eastAsia="宋体"/>
                <w:sz w:val="18"/>
                <w:szCs w:val="18"/>
              </w:rPr>
              <w:t>数小时</w:t>
            </w:r>
          </w:p>
        </w:tc>
        <w:tc>
          <w:tcPr>
            <w:tcW w:w="1600" w:type="dxa"/>
          </w:tcPr>
          <w:p w14:paraId="5B1E48A7">
            <w:pPr>
              <w:spacing w:before="20" w:after="20" w:line="280" w:lineRule="auto"/>
              <w:jc w:val="left"/>
            </w:pPr>
            <w:r>
              <w:rPr>
                <w:rFonts w:ascii="Times New Roman" w:hAnsi="Times New Roman" w:eastAsia="宋体"/>
                <w:sz w:val="18"/>
                <w:szCs w:val="18"/>
              </w:rPr>
              <w:t>首款活细胞/活体可用</w:t>
            </w:r>
          </w:p>
        </w:tc>
        <w:tc>
          <w:tcPr>
            <w:tcW w:w="1218" w:type="dxa"/>
          </w:tcPr>
          <w:p w14:paraId="6CB3F808">
            <w:pPr>
              <w:spacing w:before="20" w:after="20" w:line="280" w:lineRule="auto"/>
              <w:jc w:val="left"/>
            </w:pPr>
            <w:r>
              <w:rPr>
                <w:rFonts w:ascii="Times New Roman" w:hAnsi="Times New Roman" w:eastAsia="宋体"/>
                <w:sz w:val="18"/>
                <w:szCs w:val="18"/>
              </w:rPr>
              <w:t>速率慢，生理条件适应性受限</w:t>
            </w:r>
          </w:p>
        </w:tc>
      </w:tr>
      <w:tr w14:paraId="2A17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Pr>
          <w:p w14:paraId="3D29AAEB">
            <w:pPr>
              <w:spacing w:before="20" w:after="20" w:line="280" w:lineRule="auto"/>
              <w:jc w:val="left"/>
            </w:pPr>
            <w:r>
              <w:rPr>
                <w:rFonts w:ascii="Times New Roman" w:hAnsi="Times New Roman" w:eastAsia="宋体"/>
                <w:sz w:val="18"/>
                <w:szCs w:val="18"/>
              </w:rPr>
              <w:t>LDAI</w:t>
            </w:r>
          </w:p>
        </w:tc>
        <w:tc>
          <w:tcPr>
            <w:tcW w:w="1300" w:type="dxa"/>
          </w:tcPr>
          <w:p w14:paraId="4659AD6B">
            <w:pPr>
              <w:spacing w:before="20" w:after="20" w:line="280" w:lineRule="auto"/>
              <w:jc w:val="left"/>
            </w:pPr>
            <w:r>
              <w:rPr>
                <w:rFonts w:ascii="Times New Roman" w:hAnsi="Times New Roman" w:eastAsia="宋体"/>
                <w:sz w:val="18"/>
                <w:szCs w:val="18"/>
              </w:rPr>
              <w:t>酰基化</w:t>
            </w:r>
          </w:p>
        </w:tc>
        <w:tc>
          <w:tcPr>
            <w:tcW w:w="1200" w:type="dxa"/>
          </w:tcPr>
          <w:p w14:paraId="79DE8E4D">
            <w:pPr>
              <w:spacing w:before="20" w:after="20" w:line="280" w:lineRule="auto"/>
              <w:jc w:val="left"/>
            </w:pPr>
            <w:r>
              <w:rPr>
                <w:rFonts w:ascii="Times New Roman" w:hAnsi="Times New Roman" w:eastAsia="宋体"/>
                <w:sz w:val="18"/>
                <w:szCs w:val="18"/>
              </w:rPr>
              <w:t>Lys (膜蛋白)</w:t>
            </w:r>
          </w:p>
        </w:tc>
        <w:tc>
          <w:tcPr>
            <w:tcW w:w="1300" w:type="dxa"/>
          </w:tcPr>
          <w:p w14:paraId="221EDE3B">
            <w:pPr>
              <w:spacing w:before="20" w:after="20" w:line="280" w:lineRule="auto"/>
              <w:jc w:val="left"/>
            </w:pPr>
            <w:r>
              <w:rPr>
                <w:rFonts w:ascii="Times New Roman" w:hAnsi="Times New Roman" w:eastAsia="宋体"/>
                <w:sz w:val="18"/>
                <w:szCs w:val="18"/>
              </w:rPr>
              <w:t>~10²-10³</w:t>
            </w:r>
          </w:p>
        </w:tc>
        <w:tc>
          <w:tcPr>
            <w:tcW w:w="1400" w:type="dxa"/>
          </w:tcPr>
          <w:p w14:paraId="270EF7AE">
            <w:pPr>
              <w:spacing w:before="20" w:after="20" w:line="280" w:lineRule="auto"/>
              <w:jc w:val="left"/>
            </w:pPr>
            <w:r>
              <w:rPr>
                <w:rFonts w:ascii="Times New Roman" w:hAnsi="Times New Roman" w:eastAsia="宋体"/>
                <w:sz w:val="18"/>
                <w:szCs w:val="18"/>
              </w:rPr>
              <w:t>3-5 h</w:t>
            </w:r>
          </w:p>
        </w:tc>
        <w:tc>
          <w:tcPr>
            <w:tcW w:w="1600" w:type="dxa"/>
          </w:tcPr>
          <w:p w14:paraId="2870BE77">
            <w:pPr>
              <w:spacing w:before="20" w:after="20" w:line="280" w:lineRule="auto"/>
              <w:jc w:val="left"/>
            </w:pPr>
            <w:r>
              <w:rPr>
                <w:rFonts w:ascii="Times New Roman" w:hAnsi="Times New Roman" w:eastAsia="宋体"/>
                <w:sz w:val="18"/>
                <w:szCs w:val="18"/>
              </w:rPr>
              <w:t>适配膜蛋白标记</w:t>
            </w:r>
          </w:p>
        </w:tc>
        <w:tc>
          <w:tcPr>
            <w:tcW w:w="1218" w:type="dxa"/>
          </w:tcPr>
          <w:p w14:paraId="12606649">
            <w:pPr>
              <w:spacing w:before="20" w:after="20" w:line="280" w:lineRule="auto"/>
              <w:jc w:val="left"/>
            </w:pPr>
            <w:r>
              <w:rPr>
                <w:rFonts w:ascii="Times New Roman" w:hAnsi="Times New Roman" w:eastAsia="宋体"/>
                <w:sz w:val="18"/>
                <w:szCs w:val="18"/>
              </w:rPr>
              <w:t>固有背景噪音，少量非特异性标记</w:t>
            </w:r>
          </w:p>
        </w:tc>
      </w:tr>
      <w:tr w14:paraId="23EBB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Pr>
          <w:p w14:paraId="0EA4308A">
            <w:pPr>
              <w:spacing w:before="20" w:after="20" w:line="280" w:lineRule="auto"/>
              <w:jc w:val="left"/>
            </w:pPr>
            <w:r>
              <w:rPr>
                <w:rFonts w:ascii="Times New Roman" w:hAnsi="Times New Roman" w:eastAsia="宋体"/>
                <w:sz w:val="18"/>
                <w:szCs w:val="18"/>
              </w:rPr>
              <w:t>LDBB</w:t>
            </w:r>
          </w:p>
        </w:tc>
        <w:tc>
          <w:tcPr>
            <w:tcW w:w="1300" w:type="dxa"/>
          </w:tcPr>
          <w:p w14:paraId="1AFB1F78">
            <w:pPr>
              <w:spacing w:before="20" w:after="20" w:line="280" w:lineRule="auto"/>
              <w:jc w:val="left"/>
            </w:pPr>
            <w:r>
              <w:rPr>
                <w:rFonts w:ascii="Times New Roman" w:hAnsi="Times New Roman" w:eastAsia="宋体"/>
                <w:sz w:val="18"/>
                <w:szCs w:val="18"/>
              </w:rPr>
              <w:t>酰基化</w:t>
            </w:r>
          </w:p>
        </w:tc>
        <w:tc>
          <w:tcPr>
            <w:tcW w:w="1200" w:type="dxa"/>
          </w:tcPr>
          <w:p w14:paraId="05FC6AFE">
            <w:pPr>
              <w:spacing w:before="20" w:after="20" w:line="280" w:lineRule="auto"/>
              <w:jc w:val="left"/>
            </w:pPr>
            <w:r>
              <w:rPr>
                <w:rFonts w:ascii="Times New Roman" w:hAnsi="Times New Roman" w:eastAsia="宋体"/>
                <w:sz w:val="18"/>
                <w:szCs w:val="18"/>
              </w:rPr>
              <w:t>Lys, His</w:t>
            </w:r>
          </w:p>
        </w:tc>
        <w:tc>
          <w:tcPr>
            <w:tcW w:w="1300" w:type="dxa"/>
          </w:tcPr>
          <w:p w14:paraId="0ACA0548">
            <w:pPr>
              <w:spacing w:before="20" w:after="20" w:line="280" w:lineRule="auto"/>
              <w:jc w:val="left"/>
            </w:pPr>
            <w:r>
              <w:rPr>
                <w:rFonts w:ascii="Times New Roman" w:hAnsi="Times New Roman" w:eastAsia="宋体"/>
                <w:sz w:val="18"/>
                <w:szCs w:val="18"/>
              </w:rPr>
              <w:t>~10²</w:t>
            </w:r>
          </w:p>
        </w:tc>
        <w:tc>
          <w:tcPr>
            <w:tcW w:w="1400" w:type="dxa"/>
          </w:tcPr>
          <w:p w14:paraId="7242A4B9">
            <w:pPr>
              <w:spacing w:before="20" w:after="20" w:line="280" w:lineRule="auto"/>
              <w:jc w:val="left"/>
            </w:pPr>
            <w:r>
              <w:rPr>
                <w:rFonts w:ascii="Times New Roman" w:hAnsi="Times New Roman" w:eastAsia="宋体"/>
                <w:sz w:val="18"/>
                <w:szCs w:val="18"/>
              </w:rPr>
              <w:t>&gt;13 h</w:t>
            </w:r>
          </w:p>
        </w:tc>
        <w:tc>
          <w:tcPr>
            <w:tcW w:w="1600" w:type="dxa"/>
          </w:tcPr>
          <w:p w14:paraId="74D5D0DC">
            <w:pPr>
              <w:spacing w:before="20" w:after="20" w:line="280" w:lineRule="auto"/>
              <w:jc w:val="left"/>
            </w:pPr>
            <w:r>
              <w:rPr>
                <w:rFonts w:ascii="Times New Roman" w:hAnsi="Times New Roman" w:eastAsia="宋体"/>
                <w:sz w:val="18"/>
                <w:szCs w:val="18"/>
              </w:rPr>
              <w:t>快速胞内标记，多色成像</w:t>
            </w:r>
          </w:p>
        </w:tc>
        <w:tc>
          <w:tcPr>
            <w:tcW w:w="1218" w:type="dxa"/>
          </w:tcPr>
          <w:p w14:paraId="2FC9AB25">
            <w:pPr>
              <w:spacing w:before="20" w:after="20" w:line="280" w:lineRule="auto"/>
              <w:jc w:val="left"/>
            </w:pPr>
            <w:r>
              <w:rPr>
                <w:rFonts w:ascii="Times New Roman" w:hAnsi="Times New Roman" w:eastAsia="宋体"/>
                <w:sz w:val="18"/>
                <w:szCs w:val="18"/>
              </w:rPr>
              <w:t>仅属酯类离去基团优化</w:t>
            </w:r>
          </w:p>
        </w:tc>
      </w:tr>
      <w:tr w14:paraId="763AA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Pr>
          <w:p w14:paraId="35E64399">
            <w:pPr>
              <w:spacing w:before="20" w:after="20" w:line="280" w:lineRule="auto"/>
              <w:jc w:val="left"/>
            </w:pPr>
            <w:r>
              <w:rPr>
                <w:rFonts w:ascii="Times New Roman" w:hAnsi="Times New Roman" w:eastAsia="宋体"/>
                <w:sz w:val="18"/>
                <w:szCs w:val="18"/>
              </w:rPr>
              <w:t>LDSP</w:t>
            </w:r>
          </w:p>
        </w:tc>
        <w:tc>
          <w:tcPr>
            <w:tcW w:w="1300" w:type="dxa"/>
          </w:tcPr>
          <w:p w14:paraId="19945325">
            <w:pPr>
              <w:spacing w:before="20" w:after="20" w:line="280" w:lineRule="auto"/>
              <w:jc w:val="left"/>
            </w:pPr>
            <w:r>
              <w:rPr>
                <w:rFonts w:ascii="Times New Roman" w:hAnsi="Times New Roman" w:eastAsia="宋体"/>
                <w:sz w:val="18"/>
                <w:szCs w:val="18"/>
              </w:rPr>
              <w:t>磺酰化</w:t>
            </w:r>
          </w:p>
        </w:tc>
        <w:tc>
          <w:tcPr>
            <w:tcW w:w="1200" w:type="dxa"/>
          </w:tcPr>
          <w:p w14:paraId="48A1E25B">
            <w:pPr>
              <w:spacing w:before="20" w:after="20" w:line="280" w:lineRule="auto"/>
              <w:jc w:val="left"/>
            </w:pPr>
            <w:r>
              <w:rPr>
                <w:rFonts w:ascii="Times New Roman" w:hAnsi="Times New Roman" w:eastAsia="宋体"/>
                <w:sz w:val="18"/>
                <w:szCs w:val="18"/>
              </w:rPr>
              <w:t>Lys, Cys, His</w:t>
            </w:r>
          </w:p>
        </w:tc>
        <w:tc>
          <w:tcPr>
            <w:tcW w:w="1300" w:type="dxa"/>
          </w:tcPr>
          <w:p w14:paraId="70705197">
            <w:pPr>
              <w:spacing w:before="20" w:after="20" w:line="280" w:lineRule="auto"/>
              <w:jc w:val="left"/>
            </w:pPr>
            <w:r>
              <w:rPr>
                <w:rFonts w:ascii="Times New Roman" w:hAnsi="Times New Roman" w:eastAsia="宋体"/>
                <w:sz w:val="18"/>
                <w:szCs w:val="18"/>
              </w:rPr>
              <w:t>~10²-10³</w:t>
            </w:r>
          </w:p>
        </w:tc>
        <w:tc>
          <w:tcPr>
            <w:tcW w:w="1400" w:type="dxa"/>
          </w:tcPr>
          <w:p w14:paraId="1EEF3555">
            <w:pPr>
              <w:spacing w:before="20" w:after="20" w:line="280" w:lineRule="auto"/>
              <w:jc w:val="left"/>
            </w:pPr>
            <w:r>
              <w:rPr>
                <w:rFonts w:ascii="Times New Roman" w:hAnsi="Times New Roman" w:eastAsia="宋体"/>
                <w:sz w:val="18"/>
                <w:szCs w:val="18"/>
              </w:rPr>
              <w:t>—</w:t>
            </w:r>
          </w:p>
        </w:tc>
        <w:tc>
          <w:tcPr>
            <w:tcW w:w="1600" w:type="dxa"/>
          </w:tcPr>
          <w:p w14:paraId="554CB7BA">
            <w:pPr>
              <w:spacing w:before="20" w:after="20" w:line="280" w:lineRule="auto"/>
              <w:jc w:val="left"/>
            </w:pPr>
            <w:r>
              <w:rPr>
                <w:rFonts w:ascii="Times New Roman" w:hAnsi="Times New Roman" w:eastAsia="宋体"/>
                <w:sz w:val="18"/>
                <w:szCs w:val="18"/>
              </w:rPr>
              <w:t>首次实现磺酰化转移</w:t>
            </w:r>
          </w:p>
        </w:tc>
        <w:tc>
          <w:tcPr>
            <w:tcW w:w="1218" w:type="dxa"/>
          </w:tcPr>
          <w:p w14:paraId="5058EA6F">
            <w:pPr>
              <w:spacing w:before="20" w:after="20" w:line="280" w:lineRule="auto"/>
              <w:jc w:val="left"/>
            </w:pPr>
            <w:r>
              <w:rPr>
                <w:rFonts w:ascii="Times New Roman" w:hAnsi="Times New Roman" w:eastAsia="宋体"/>
                <w:sz w:val="18"/>
                <w:szCs w:val="18"/>
              </w:rPr>
              <w:t>应用范围待进一步拓展</w:t>
            </w:r>
          </w:p>
        </w:tc>
      </w:tr>
      <w:tr w14:paraId="4556F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Pr>
          <w:p w14:paraId="51575400">
            <w:pPr>
              <w:spacing w:before="20" w:after="20" w:line="280" w:lineRule="auto"/>
              <w:jc w:val="left"/>
            </w:pPr>
            <w:r>
              <w:rPr>
                <w:rFonts w:ascii="Times New Roman" w:hAnsi="Times New Roman" w:eastAsia="宋体"/>
                <w:sz w:val="18"/>
                <w:szCs w:val="18"/>
              </w:rPr>
              <w:t>NASA</w:t>
            </w:r>
          </w:p>
        </w:tc>
        <w:tc>
          <w:tcPr>
            <w:tcW w:w="1300" w:type="dxa"/>
          </w:tcPr>
          <w:p w14:paraId="215F26AF">
            <w:pPr>
              <w:spacing w:before="20" w:after="20" w:line="280" w:lineRule="auto"/>
              <w:jc w:val="left"/>
            </w:pPr>
            <w:r>
              <w:rPr>
                <w:rFonts w:ascii="Times New Roman" w:hAnsi="Times New Roman" w:eastAsia="宋体"/>
                <w:sz w:val="18"/>
                <w:szCs w:val="18"/>
              </w:rPr>
              <w:t>酰基转移 (N-S断裂)</w:t>
            </w:r>
          </w:p>
        </w:tc>
        <w:tc>
          <w:tcPr>
            <w:tcW w:w="1200" w:type="dxa"/>
          </w:tcPr>
          <w:p w14:paraId="5E422CC3">
            <w:pPr>
              <w:spacing w:before="20" w:after="20" w:line="280" w:lineRule="auto"/>
              <w:jc w:val="left"/>
            </w:pPr>
            <w:r>
              <w:rPr>
                <w:rFonts w:ascii="Times New Roman" w:hAnsi="Times New Roman" w:eastAsia="宋体"/>
                <w:sz w:val="18"/>
                <w:szCs w:val="18"/>
              </w:rPr>
              <w:t>Lys</w:t>
            </w:r>
          </w:p>
        </w:tc>
        <w:tc>
          <w:tcPr>
            <w:tcW w:w="1300" w:type="dxa"/>
          </w:tcPr>
          <w:p w14:paraId="4271E8DF">
            <w:pPr>
              <w:spacing w:before="20" w:after="20" w:line="280" w:lineRule="auto"/>
              <w:jc w:val="left"/>
            </w:pPr>
            <w:r>
              <w:rPr>
                <w:rFonts w:ascii="Times New Roman" w:hAnsi="Times New Roman" w:eastAsia="宋体"/>
                <w:sz w:val="18"/>
                <w:szCs w:val="18"/>
              </w:rPr>
              <w:t>~10⁴</w:t>
            </w:r>
          </w:p>
        </w:tc>
        <w:tc>
          <w:tcPr>
            <w:tcW w:w="1400" w:type="dxa"/>
          </w:tcPr>
          <w:p w14:paraId="61C72350">
            <w:pPr>
              <w:spacing w:before="20" w:after="20" w:line="280" w:lineRule="auto"/>
              <w:jc w:val="left"/>
            </w:pPr>
            <w:r>
              <w:rPr>
                <w:rFonts w:ascii="Times New Roman" w:hAnsi="Times New Roman" w:eastAsia="宋体"/>
                <w:sz w:val="18"/>
                <w:szCs w:val="18"/>
              </w:rPr>
              <w:t>~43 h</w:t>
            </w:r>
          </w:p>
        </w:tc>
        <w:tc>
          <w:tcPr>
            <w:tcW w:w="1600" w:type="dxa"/>
          </w:tcPr>
          <w:p w14:paraId="2825F8A0">
            <w:pPr>
              <w:spacing w:before="20" w:after="20" w:line="280" w:lineRule="auto"/>
              <w:jc w:val="left"/>
            </w:pPr>
            <w:r>
              <w:rPr>
                <w:rFonts w:ascii="Times New Roman" w:hAnsi="Times New Roman" w:eastAsia="宋体"/>
                <w:sz w:val="18"/>
                <w:szCs w:val="18"/>
              </w:rPr>
              <w:t>速率量级跃升，惰性游离态</w:t>
            </w:r>
          </w:p>
        </w:tc>
        <w:tc>
          <w:tcPr>
            <w:tcW w:w="1218" w:type="dxa"/>
          </w:tcPr>
          <w:p w14:paraId="46B0B49C">
            <w:pPr>
              <w:spacing w:before="20" w:after="20" w:line="280" w:lineRule="auto"/>
              <w:jc w:val="left"/>
            </w:pPr>
            <w:r>
              <w:rPr>
                <w:rFonts w:ascii="Times New Roman" w:hAnsi="Times New Roman" w:eastAsia="宋体"/>
                <w:sz w:val="18"/>
                <w:szCs w:val="18"/>
              </w:rPr>
              <w:t>血清中不稳定，低丰度靶标背景偏高</w:t>
            </w:r>
          </w:p>
        </w:tc>
      </w:tr>
      <w:tr w14:paraId="1BE7B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Pr>
          <w:p w14:paraId="52378C12">
            <w:pPr>
              <w:spacing w:before="20" w:after="20" w:line="280" w:lineRule="auto"/>
              <w:jc w:val="left"/>
            </w:pPr>
            <w:r>
              <w:rPr>
                <w:rFonts w:ascii="Times New Roman" w:hAnsi="Times New Roman" w:eastAsia="宋体"/>
                <w:sz w:val="18"/>
                <w:szCs w:val="18"/>
              </w:rPr>
              <w:t>ArNASA</w:t>
            </w:r>
          </w:p>
        </w:tc>
        <w:tc>
          <w:tcPr>
            <w:tcW w:w="1300" w:type="dxa"/>
          </w:tcPr>
          <w:p w14:paraId="5DE0C36A">
            <w:pPr>
              <w:spacing w:before="20" w:after="20" w:line="280" w:lineRule="auto"/>
              <w:jc w:val="left"/>
            </w:pPr>
            <w:r>
              <w:rPr>
                <w:rFonts w:ascii="Times New Roman" w:hAnsi="Times New Roman" w:eastAsia="宋体"/>
                <w:sz w:val="18"/>
                <w:szCs w:val="18"/>
              </w:rPr>
              <w:t>酰基转移 (N-S断裂)</w:t>
            </w:r>
          </w:p>
        </w:tc>
        <w:tc>
          <w:tcPr>
            <w:tcW w:w="1200" w:type="dxa"/>
          </w:tcPr>
          <w:p w14:paraId="6D62B330">
            <w:pPr>
              <w:spacing w:before="20" w:after="20" w:line="280" w:lineRule="auto"/>
              <w:jc w:val="left"/>
            </w:pPr>
            <w:r>
              <w:rPr>
                <w:rFonts w:ascii="Times New Roman" w:hAnsi="Times New Roman" w:eastAsia="宋体"/>
                <w:sz w:val="18"/>
                <w:szCs w:val="18"/>
              </w:rPr>
              <w:t>Lys, Tyr, Ser</w:t>
            </w:r>
          </w:p>
        </w:tc>
        <w:tc>
          <w:tcPr>
            <w:tcW w:w="1300" w:type="dxa"/>
          </w:tcPr>
          <w:p w14:paraId="0DCC003A">
            <w:pPr>
              <w:spacing w:before="20" w:after="20" w:line="280" w:lineRule="auto"/>
              <w:jc w:val="left"/>
            </w:pPr>
            <w:r>
              <w:rPr>
                <w:rFonts w:ascii="Times New Roman" w:hAnsi="Times New Roman" w:eastAsia="宋体"/>
                <w:sz w:val="18"/>
                <w:szCs w:val="18"/>
              </w:rPr>
              <w:t>~10⁴</w:t>
            </w:r>
          </w:p>
        </w:tc>
        <w:tc>
          <w:tcPr>
            <w:tcW w:w="1400" w:type="dxa"/>
          </w:tcPr>
          <w:p w14:paraId="597BFCD0">
            <w:pPr>
              <w:spacing w:before="20" w:after="20" w:line="280" w:lineRule="auto"/>
              <w:jc w:val="left"/>
            </w:pPr>
            <w:r>
              <w:rPr>
                <w:rFonts w:ascii="Times New Roman" w:hAnsi="Times New Roman" w:eastAsia="宋体"/>
                <w:sz w:val="18"/>
                <w:szCs w:val="18"/>
              </w:rPr>
              <w:t>&gt;72 h</w:t>
            </w:r>
          </w:p>
        </w:tc>
        <w:tc>
          <w:tcPr>
            <w:tcW w:w="1600" w:type="dxa"/>
          </w:tcPr>
          <w:p w14:paraId="3D69D3D8">
            <w:pPr>
              <w:spacing w:before="20" w:after="20" w:line="280" w:lineRule="auto"/>
              <w:jc w:val="left"/>
            </w:pPr>
            <w:r>
              <w:rPr>
                <w:rFonts w:ascii="Times New Roman" w:hAnsi="Times New Roman" w:eastAsia="宋体"/>
                <w:sz w:val="18"/>
                <w:szCs w:val="18"/>
              </w:rPr>
              <w:t>血清稳定，残基谱拓宽</w:t>
            </w:r>
          </w:p>
        </w:tc>
        <w:tc>
          <w:tcPr>
            <w:tcW w:w="1218" w:type="dxa"/>
          </w:tcPr>
          <w:p w14:paraId="2274527B">
            <w:pPr>
              <w:spacing w:before="20" w:after="20" w:line="280" w:lineRule="auto"/>
              <w:jc w:val="left"/>
            </w:pPr>
            <w:r>
              <w:rPr>
                <w:rFonts w:ascii="Times New Roman" w:hAnsi="Times New Roman" w:eastAsia="宋体"/>
                <w:sz w:val="18"/>
                <w:szCs w:val="18"/>
              </w:rPr>
              <w:t>合成复杂度较高</w:t>
            </w:r>
          </w:p>
        </w:tc>
      </w:tr>
      <w:tr w14:paraId="66FFA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Pr>
          <w:p w14:paraId="59B66749">
            <w:pPr>
              <w:spacing w:before="20" w:after="20" w:line="280" w:lineRule="auto"/>
              <w:jc w:val="left"/>
            </w:pPr>
            <w:r>
              <w:rPr>
                <w:rFonts w:ascii="Times New Roman" w:hAnsi="Times New Roman" w:eastAsia="宋体"/>
                <w:sz w:val="18"/>
                <w:szCs w:val="18"/>
              </w:rPr>
              <w:t>Photo-NASA</w:t>
            </w:r>
          </w:p>
        </w:tc>
        <w:tc>
          <w:tcPr>
            <w:tcW w:w="1300" w:type="dxa"/>
          </w:tcPr>
          <w:p w14:paraId="61F48481">
            <w:pPr>
              <w:spacing w:before="20" w:after="20" w:line="280" w:lineRule="auto"/>
              <w:jc w:val="left"/>
            </w:pPr>
            <w:r>
              <w:rPr>
                <w:rFonts w:ascii="Times New Roman" w:hAnsi="Times New Roman" w:eastAsia="宋体"/>
                <w:sz w:val="18"/>
                <w:szCs w:val="18"/>
              </w:rPr>
              <w:t>光控酰基转移</w:t>
            </w:r>
          </w:p>
        </w:tc>
        <w:tc>
          <w:tcPr>
            <w:tcW w:w="1200" w:type="dxa"/>
          </w:tcPr>
          <w:p w14:paraId="52B7DCC0">
            <w:pPr>
              <w:spacing w:before="20" w:after="20" w:line="280" w:lineRule="auto"/>
              <w:jc w:val="left"/>
            </w:pPr>
            <w:r>
              <w:rPr>
                <w:rFonts w:ascii="Times New Roman" w:hAnsi="Times New Roman" w:eastAsia="宋体"/>
                <w:sz w:val="18"/>
                <w:szCs w:val="18"/>
              </w:rPr>
              <w:t>Lys</w:t>
            </w:r>
          </w:p>
        </w:tc>
        <w:tc>
          <w:tcPr>
            <w:tcW w:w="1300" w:type="dxa"/>
          </w:tcPr>
          <w:p w14:paraId="29E00CE2">
            <w:pPr>
              <w:spacing w:before="20" w:after="20" w:line="280" w:lineRule="auto"/>
              <w:jc w:val="left"/>
            </w:pPr>
            <w:r>
              <w:rPr>
                <w:rFonts w:ascii="Times New Roman" w:hAnsi="Times New Roman" w:eastAsia="宋体"/>
                <w:sz w:val="18"/>
                <w:szCs w:val="18"/>
              </w:rPr>
              <w:t>~10⁴</w:t>
            </w:r>
          </w:p>
        </w:tc>
        <w:tc>
          <w:tcPr>
            <w:tcW w:w="1400" w:type="dxa"/>
          </w:tcPr>
          <w:p w14:paraId="29C7230E">
            <w:pPr>
              <w:spacing w:before="20" w:after="20" w:line="280" w:lineRule="auto"/>
              <w:jc w:val="left"/>
            </w:pPr>
            <w:r>
              <w:rPr>
                <w:rFonts w:ascii="Times New Roman" w:hAnsi="Times New Roman" w:eastAsia="宋体"/>
                <w:sz w:val="18"/>
                <w:szCs w:val="18"/>
              </w:rPr>
              <w:t>&gt;72 h (光解前惰性)</w:t>
            </w:r>
          </w:p>
        </w:tc>
        <w:tc>
          <w:tcPr>
            <w:tcW w:w="1600" w:type="dxa"/>
          </w:tcPr>
          <w:p w14:paraId="55CA0018">
            <w:pPr>
              <w:spacing w:before="20" w:after="20" w:line="280" w:lineRule="auto"/>
              <w:jc w:val="left"/>
            </w:pPr>
            <w:r>
              <w:rPr>
                <w:rFonts w:ascii="Times New Roman" w:hAnsi="Times New Roman" w:eastAsia="宋体"/>
                <w:sz w:val="18"/>
                <w:szCs w:val="18"/>
              </w:rPr>
              <w:t>亚细胞时空可控标记</w:t>
            </w:r>
          </w:p>
        </w:tc>
        <w:tc>
          <w:tcPr>
            <w:tcW w:w="1218" w:type="dxa"/>
          </w:tcPr>
          <w:p w14:paraId="74976722">
            <w:pPr>
              <w:spacing w:before="20" w:after="20" w:line="280" w:lineRule="auto"/>
              <w:jc w:val="left"/>
            </w:pPr>
            <w:r>
              <w:rPr>
                <w:rFonts w:ascii="Times New Roman" w:hAnsi="Times New Roman" w:eastAsia="宋体"/>
                <w:sz w:val="18"/>
                <w:szCs w:val="18"/>
              </w:rPr>
              <w:t>需光照射设备，深层组织受限</w:t>
            </w:r>
          </w:p>
        </w:tc>
      </w:tr>
      <w:tr>
        <w:tc>
          <w:tcPr>
            <w:tcW w:w="1200" w:type="dxa"/>
          </w:tcPr>
          <w:p>
            <w:pPr>
              <w:jc w:val="left"/>
              <w:spacing w:before="20" w:after="20" w:line="280" w:lineRule="auto"/>
            </w:pPr>
            <w:r>
              <w:rPr>
                <w:rFonts w:ascii="Times New Roman" w:hAnsi="Times New Roman" w:eastAsia="宋体"/>
                <w:sz w:val="18"/>
                <w:szCs w:val="18"/>
              </w:rPr>
              <w:t xml:space="preserve">CoLDR-G1（甲基丙烯酰胺）</w:t>
            </w:r>
          </w:p>
        </w:tc>
        <w:tc>
          <w:tcPr>
            <w:tcW w:w="1300" w:type="dxa"/>
          </w:tcPr>
          <w:p>
            <w:pPr>
              <w:jc w:val="left"/>
              <w:spacing w:before="20" w:after="20" w:line="280" w:lineRule="auto"/>
            </w:pPr>
            <w:r>
              <w:rPr>
                <w:rFonts w:ascii="Times New Roman" w:hAnsi="Times New Roman" w:eastAsia="宋体"/>
                <w:sz w:val="18"/>
                <w:szCs w:val="18"/>
              </w:rPr>
              <w:t xml:space="preserve">加成-消除</w:t>
            </w:r>
          </w:p>
        </w:tc>
        <w:tc>
          <w:tcPr>
            <w:tcW w:w="1200" w:type="dxa"/>
          </w:tcPr>
          <w:p>
            <w:pPr>
              <w:jc w:val="left"/>
              <w:spacing w:before="20" w:after="20" w:line="280" w:lineRule="auto"/>
            </w:pPr>
            <w:r>
              <w:rPr>
                <w:rFonts w:ascii="Times New Roman" w:hAnsi="Times New Roman" w:eastAsia="宋体"/>
                <w:sz w:val="18"/>
                <w:szCs w:val="18"/>
              </w:rPr>
              <w:t xml:space="preserve">Cys</w:t>
            </w:r>
          </w:p>
        </w:tc>
        <w:tc>
          <w:tcPr>
            <w:tcW w:w="1300" w:type="dxa"/>
          </w:tcPr>
          <w:p>
            <w:pPr>
              <w:jc w:val="left"/>
              <w:spacing w:before="20" w:after="20" w:line="280" w:lineRule="auto"/>
            </w:pPr>
            <w:r>
              <w:rPr>
                <w:rFonts w:ascii="Times New Roman" w:hAnsi="Times New Roman" w:eastAsia="宋体"/>
                <w:sz w:val="18"/>
                <w:szCs w:val="18"/>
              </w:rPr>
              <w:t xml:space="preserve">~10³-10⁴</w:t>
            </w:r>
          </w:p>
        </w:tc>
        <w:tc>
          <w:tcPr>
            <w:tcW w:w="1400" w:type="dxa"/>
          </w:tcPr>
          <w:p>
            <w:pPr>
              <w:jc w:val="left"/>
              <w:spacing w:before="20" w:after="20" w:line="280" w:lineRule="auto"/>
            </w:pPr>
            <w:r>
              <w:rPr>
                <w:rFonts w:ascii="Times New Roman" w:hAnsi="Times New Roman" w:eastAsia="宋体"/>
                <w:sz w:val="18"/>
                <w:szCs w:val="18"/>
              </w:rPr>
              <w:t xml:space="preserve">—</w:t>
            </w:r>
          </w:p>
        </w:tc>
        <w:tc>
          <w:tcPr>
            <w:tcW w:w="1600" w:type="dxa"/>
          </w:tcPr>
          <w:p>
            <w:pPr>
              <w:jc w:val="left"/>
              <w:spacing w:before="20" w:after="20" w:line="280" w:lineRule="auto"/>
            </w:pPr>
            <w:r>
              <w:rPr>
                <w:rFonts w:ascii="Times New Roman" w:hAnsi="Times New Roman" w:eastAsia="宋体"/>
                <w:sz w:val="18"/>
                <w:szCs w:val="18"/>
              </w:rPr>
              <w:t xml:space="preserve">独立于N-S的配体导向无痕释放</w:t>
            </w:r>
          </w:p>
        </w:tc>
        <w:tc>
          <w:tcPr>
            <w:tcW w:w="1000" w:type="dxa"/>
          </w:tcPr>
          <w:p>
            <w:pPr>
              <w:jc w:val="left"/>
              <w:spacing w:before="20" w:after="20" w:line="280" w:lineRule="auto"/>
            </w:pPr>
            <w:r>
              <w:rPr>
                <w:rFonts w:ascii="Times New Roman" w:hAnsi="Times New Roman" w:eastAsia="宋体"/>
                <w:sz w:val="18"/>
                <w:szCs w:val="18"/>
              </w:rPr>
              <w:t xml:space="preserve">依赖活性位点Cys</w:t>
            </w:r>
          </w:p>
        </w:tc>
      </w:tr>
      <w:tr>
        <w:tc>
          <w:tcPr>
            <w:tcW w:w="1200" w:type="dxa"/>
          </w:tcPr>
          <w:p>
            <w:pPr>
              <w:jc w:val="left"/>
              <w:spacing w:before="20" w:after="20" w:line="280" w:lineRule="auto"/>
            </w:pPr>
            <w:r>
              <w:rPr>
                <w:rFonts w:ascii="Times New Roman" w:hAnsi="Times New Roman" w:eastAsia="宋体"/>
                <w:sz w:val="18"/>
                <w:szCs w:val="18"/>
              </w:rPr>
              <w:t xml:space="preserve">CoLDR-G2（氨基磺酸乙酰胺）</w:t>
            </w:r>
          </w:p>
        </w:tc>
        <w:tc>
          <w:tcPr>
            <w:tcW w:w="1300" w:type="dxa"/>
          </w:tcPr>
          <w:p>
            <w:pPr>
              <w:jc w:val="left"/>
              <w:spacing w:before="20" w:after="20" w:line="280" w:lineRule="auto"/>
            </w:pPr>
            <w:r>
              <w:rPr>
                <w:rFonts w:ascii="Times New Roman" w:hAnsi="Times New Roman" w:eastAsia="宋体"/>
                <w:sz w:val="18"/>
                <w:szCs w:val="18"/>
              </w:rPr>
              <w:t xml:space="preserve">自牺牲消除</w:t>
            </w:r>
          </w:p>
        </w:tc>
        <w:tc>
          <w:tcPr>
            <w:tcW w:w="1200" w:type="dxa"/>
          </w:tcPr>
          <w:p>
            <w:pPr>
              <w:jc w:val="left"/>
              <w:spacing w:before="20" w:after="20" w:line="280" w:lineRule="auto"/>
            </w:pPr>
            <w:r>
              <w:rPr>
                <w:rFonts w:ascii="Times New Roman" w:hAnsi="Times New Roman" w:eastAsia="宋体"/>
                <w:sz w:val="18"/>
                <w:szCs w:val="18"/>
              </w:rPr>
              <w:t xml:space="preserve">Cys</w:t>
            </w:r>
          </w:p>
        </w:tc>
        <w:tc>
          <w:tcPr>
            <w:tcW w:w="1300" w:type="dxa"/>
          </w:tcPr>
          <w:p>
            <w:pPr>
              <w:jc w:val="left"/>
              <w:spacing w:before="20" w:after="20" w:line="280" w:lineRule="auto"/>
            </w:pPr>
            <w:r>
              <w:rPr>
                <w:rFonts w:ascii="Times New Roman" w:hAnsi="Times New Roman" w:eastAsia="宋体"/>
                <w:sz w:val="18"/>
                <w:szCs w:val="18"/>
              </w:rPr>
              <w:t xml:space="preserve">~10³-10⁴</w:t>
            </w:r>
          </w:p>
        </w:tc>
        <w:tc>
          <w:tcPr>
            <w:tcW w:w="1400" w:type="dxa"/>
          </w:tcPr>
          <w:p>
            <w:pPr>
              <w:jc w:val="left"/>
              <w:spacing w:before="20" w:after="20" w:line="280" w:lineRule="auto"/>
            </w:pPr>
            <w:r>
              <w:rPr>
                <w:rFonts w:ascii="Times New Roman" w:hAnsi="Times New Roman" w:eastAsia="宋体"/>
                <w:sz w:val="18"/>
                <w:szCs w:val="18"/>
              </w:rPr>
              <w:t xml:space="preserve">—</w:t>
            </w:r>
          </w:p>
        </w:tc>
        <w:tc>
          <w:tcPr>
            <w:tcW w:w="1600" w:type="dxa"/>
          </w:tcPr>
          <w:p>
            <w:pPr>
              <w:jc w:val="left"/>
              <w:spacing w:before="20" w:after="20" w:line="280" w:lineRule="auto"/>
            </w:pPr>
            <w:r>
              <w:rPr>
                <w:rFonts w:ascii="Times New Roman" w:hAnsi="Times New Roman" w:eastAsia="宋体"/>
                <w:sz w:val="18"/>
                <w:szCs w:val="18"/>
              </w:rPr>
              <w:t xml:space="preserve">体内兼容性优于丙烯酰胺</w:t>
            </w:r>
          </w:p>
        </w:tc>
        <w:tc>
          <w:tcPr>
            <w:tcW w:w="1000" w:type="dxa"/>
          </w:tcPr>
          <w:p>
            <w:pPr>
              <w:jc w:val="left"/>
              <w:spacing w:before="20" w:after="20" w:line="280" w:lineRule="auto"/>
            </w:pPr>
            <w:r>
              <w:rPr>
                <w:rFonts w:ascii="Times New Roman" w:hAnsi="Times New Roman" w:eastAsia="宋体"/>
                <w:sz w:val="18"/>
                <w:szCs w:val="18"/>
              </w:rPr>
              <w:t xml:space="preserve">靶残基限于Cys</w:t>
            </w:r>
          </w:p>
        </w:tc>
      </w:tr>
      <w:tr w14:paraId="54259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Pr>
          <w:p w14:paraId="144E0F2A">
            <w:pPr>
              <w:spacing w:before="20" w:after="20" w:line="280" w:lineRule="auto"/>
              <w:jc w:val="left"/>
            </w:pPr>
            <w:r>
              <w:rPr>
                <w:rFonts w:ascii="Times New Roman" w:hAnsi="Times New Roman" w:eastAsia="宋体"/>
                <w:sz w:val="18"/>
                <w:szCs w:val="18"/>
              </w:rPr>
              <w:t>LD-TMAc</w:t>
            </w:r>
          </w:p>
        </w:tc>
        <w:tc>
          <w:tcPr>
            <w:tcW w:w="1300" w:type="dxa"/>
          </w:tcPr>
          <w:p w14:paraId="4D079446">
            <w:pPr>
              <w:spacing w:before="20" w:after="20" w:line="280" w:lineRule="auto"/>
              <w:jc w:val="left"/>
            </w:pPr>
            <w:r>
              <w:rPr>
                <w:rFonts w:ascii="Times New Roman" w:hAnsi="Times New Roman" w:eastAsia="宋体"/>
                <w:sz w:val="18"/>
                <w:szCs w:val="18"/>
              </w:rPr>
              <w:t>级联迈克尔加成</w:t>
            </w:r>
          </w:p>
        </w:tc>
        <w:tc>
          <w:tcPr>
            <w:tcW w:w="1200" w:type="dxa"/>
          </w:tcPr>
          <w:p w14:paraId="30B4C53C">
            <w:pPr>
              <w:spacing w:before="20" w:after="20" w:line="280" w:lineRule="auto"/>
              <w:jc w:val="left"/>
            </w:pPr>
            <w:r>
              <w:rPr>
                <w:rFonts w:ascii="Times New Roman" w:hAnsi="Times New Roman" w:eastAsia="宋体"/>
                <w:sz w:val="18"/>
                <w:szCs w:val="18"/>
              </w:rPr>
              <w:t>Lys (多位点)</w:t>
            </w:r>
          </w:p>
        </w:tc>
        <w:tc>
          <w:tcPr>
            <w:tcW w:w="1300" w:type="dxa"/>
          </w:tcPr>
          <w:p w14:paraId="0A0E9028">
            <w:pPr>
              <w:spacing w:before="20" w:after="20" w:line="280" w:lineRule="auto"/>
              <w:jc w:val="left"/>
            </w:pPr>
            <w:r>
              <w:rPr>
                <w:rFonts w:ascii="Times New Roman" w:hAnsi="Times New Roman" w:eastAsia="宋体"/>
                <w:sz w:val="18"/>
                <w:szCs w:val="18"/>
              </w:rPr>
              <w:t>—</w:t>
            </w:r>
          </w:p>
        </w:tc>
        <w:tc>
          <w:tcPr>
            <w:tcW w:w="1400" w:type="dxa"/>
          </w:tcPr>
          <w:p w14:paraId="28893423">
            <w:pPr>
              <w:spacing w:before="20" w:after="20" w:line="280" w:lineRule="auto"/>
              <w:jc w:val="left"/>
            </w:pPr>
            <w:r>
              <w:rPr>
                <w:rFonts w:ascii="Times New Roman" w:hAnsi="Times New Roman" w:eastAsia="宋体"/>
                <w:sz w:val="18"/>
                <w:szCs w:val="18"/>
              </w:rPr>
              <w:t>—</w:t>
            </w:r>
          </w:p>
        </w:tc>
        <w:tc>
          <w:tcPr>
            <w:tcW w:w="1600" w:type="dxa"/>
          </w:tcPr>
          <w:p w14:paraId="541CA9C0">
            <w:pPr>
              <w:spacing w:before="20" w:after="20" w:line="280" w:lineRule="auto"/>
              <w:jc w:val="left"/>
            </w:pPr>
            <w:r>
              <w:rPr>
                <w:rFonts w:ascii="Times New Roman" w:hAnsi="Times New Roman" w:eastAsia="宋体"/>
                <w:sz w:val="18"/>
                <w:szCs w:val="18"/>
              </w:rPr>
              <w:t>单分子信号放大3-5倍</w:t>
            </w:r>
          </w:p>
        </w:tc>
        <w:tc>
          <w:tcPr>
            <w:tcW w:w="1218" w:type="dxa"/>
          </w:tcPr>
          <w:p w14:paraId="72DC39CB">
            <w:pPr>
              <w:spacing w:before="20" w:after="20" w:line="280" w:lineRule="auto"/>
              <w:jc w:val="left"/>
            </w:pPr>
            <w:r>
              <w:rPr>
                <w:rFonts w:ascii="Times New Roman" w:hAnsi="Times New Roman" w:eastAsia="宋体"/>
                <w:sz w:val="18"/>
                <w:szCs w:val="18"/>
              </w:rPr>
              <w:t>标记位点多且随机</w:t>
            </w:r>
          </w:p>
        </w:tc>
      </w:tr>
    </w:tbl>
    <w:p w14:paraId="4F3D6CB2">
      <w:pPr>
        <w:spacing w:before="260" w:after="120" w:line="360" w:lineRule="auto"/>
        <w:ind w:left="0" w:firstLine="0"/>
        <w:jc w:val="left"/>
        <w:outlineLvl w:val="1"/>
      </w:pPr>
      <w:bookmarkStart w:id="14" w:name="heading_24"/>
      <w:r>
        <w:rPr>
          <w:rFonts w:ascii="Times New Roman" w:hAnsi="Times New Roman" w:eastAsia="黑体" w:cs="Times New Roman"/>
          <w:b/>
          <w:sz w:val="28"/>
          <w:szCs w:val="28"/>
        </w:rPr>
        <w:t>4 技术挑战与优化策略</w:t>
      </w:r>
      <w:bookmarkEnd w:id="14"/>
    </w:p>
    <w:p w14:paraId="24525CA6">
      <w:pPr>
        <w:spacing w:before="0" w:after="0" w:line="360" w:lineRule="auto"/>
        <w:ind w:left="0" w:firstLine="480"/>
        <w:jc w:val="both"/>
      </w:pPr>
      <w:r>
        <w:rPr>
          <w:rFonts w:ascii="Times New Roman" w:hAnsi="Times New Roman" w:eastAsia="宋体" w:cs="Times New Roman"/>
          <w:b w:val="0"/>
          <w:sz w:val="24"/>
          <w:szCs w:val="24"/>
        </w:rPr>
        <w:t>尽管LD探针技术已取得巨大进展，但在实际应用中仍面临诸多核心挑战，需通过精细的化学设计与工程化优化逐一解决。</w:t>
      </w:r>
    </w:p>
    <w:p w14:paraId="44F0BA81">
      <w:pPr>
        <w:spacing w:before="120" w:after="60" w:line="360" w:lineRule="auto"/>
        <w:ind w:left="0" w:firstLine="0"/>
        <w:jc w:val="left"/>
        <w:outlineLvl w:val="3"/>
      </w:pPr>
      <w:bookmarkStart w:id="15" w:name="heading_25"/>
      <w:r>
        <w:rPr>
          <w:rFonts w:ascii="Times New Roman" w:hAnsi="Times New Roman" w:eastAsia="黑体" w:cs="Times New Roman"/>
          <w:b/>
          <w:sz w:val="24"/>
          <w:szCs w:val="24"/>
        </w:rPr>
        <w:t>4.1 非特异性标记与背景噪音的消除</w:t>
      </w:r>
      <w:bookmarkEnd w:id="15"/>
    </w:p>
    <w:p w14:paraId="75220ACC">
      <w:pPr>
        <w:spacing w:before="0" w:after="0" w:line="360" w:lineRule="auto"/>
        <w:ind w:left="0" w:firstLine="480"/>
        <w:jc w:val="both"/>
      </w:pPr>
      <w:r>
        <w:rPr>
          <w:rFonts w:ascii="Times New Roman" w:hAnsi="Times New Roman" w:eastAsia="宋体" w:cs="Times New Roman"/>
          <w:b w:val="0"/>
          <w:sz w:val="24"/>
          <w:szCs w:val="24"/>
        </w:rPr>
        <w:t xml:space="preserve">这类探针在应用中面临的首要挑战是高亲电性弹头与疏水性报告基团导致的非特异性吸附。特别是常用的长波长荧光团（如 Cy5、BODIPY）具有显著的疏水性，极易产生"粘性"背景，导致其在标记低丰度蛋白（如 </w:t>
      </w:r>
      <m:oMath>
        <m:sSub>
          <m:sSubPr/>
          <m:e>
            <m:r>
              <m:rPr/>
              <w:rPr>
                <w:rFonts w:ascii="Cambria Math" w:hAnsi="Cambria Math"/>
              </w:rPr>
              <m:t>A</m:t>
            </m:r>
          </m:e>
          <m:sub>
            <m:r>
              <m:rPr/>
              <w:rPr>
                <w:rFonts w:ascii="Cambria Math" w:hAnsi="Cambria Math"/>
              </w:rPr>
              <m:t>2B</m:t>
            </m:r>
          </m:sub>
        </m:sSub>
        <m:r>
          <m:rPr/>
          <w:rPr>
            <w:rFonts w:ascii="Cambria Math" w:hAnsi="Cambria Math"/>
          </w:rPr>
          <m:t>AR</m:t>
        </m:r>
      </m:oMath>
      <w:r>
        <w:rPr>
          <w:rFonts w:ascii="Times New Roman" w:hAnsi="Times New Roman" w:eastAsia="宋体" w:cs="Times New Roman"/>
          <w:b w:val="0"/>
          <w:sz w:val="24"/>
          <w:szCs w:val="24"/>
        </w:rPr>
        <w:t>）时信噪比极低。为破解这一局限，研究者开发了荧光点亮（Turn-on）型探针，利用环境敏感型荧光基团在转移至蛋白表面后发生的微环境变化（如极性改变或阳离子-</w:t>
      </w:r>
      <m:oMath>
        <m:r>
          <m:rPr/>
          <w:rPr>
            <w:rFonts w:ascii="Cambria Math" w:hAnsi="Cambria Math"/>
          </w:rPr>
          <m:t>π</m:t>
        </m:r>
      </m:oMath>
      <w:r>
        <w:rPr>
          <w:rFonts w:ascii="Times New Roman" w:hAnsi="Times New Roman" w:eastAsia="宋体" w:cs="Times New Roman"/>
          <w:b w:val="0"/>
          <w:sz w:val="24"/>
          <w:szCs w:val="24"/>
        </w:rPr>
        <w:t xml:space="preserve"> 相互作用）触发荧光，从而在源头上规避了游离探针的干扰。除背景噪音问题外，如何使弹头的反应活性与代谢稳定性之间达成精细平衡，是另一项核心化学挑战。</w:t>
      </w:r>
    </w:p>
    <w:p w14:paraId="6CF728F2">
      <w:pPr>
        <w:spacing w:before="120" w:after="60" w:line="360" w:lineRule="auto"/>
        <w:ind w:left="0" w:firstLine="0"/>
        <w:jc w:val="left"/>
        <w:outlineLvl w:val="3"/>
      </w:pPr>
      <w:bookmarkStart w:id="16" w:name="heading_26"/>
      <w:r>
        <w:rPr>
          <w:rFonts w:ascii="Times New Roman" w:hAnsi="Times New Roman" w:eastAsia="黑体" w:cs="Times New Roman"/>
          <w:b/>
          <w:sz w:val="24"/>
          <w:szCs w:val="24"/>
        </w:rPr>
        <w:t>4.2 反应动力学与代谢稳定性的精细平衡</w:t>
      </w:r>
      <w:bookmarkEnd w:id="16"/>
    </w:p>
    <w:p w14:paraId="4715B591">
      <w:pPr>
        <w:spacing w:before="0" w:after="0" w:line="360" w:lineRule="auto"/>
        <w:ind w:left="0" w:firstLine="480"/>
        <w:jc w:val="both"/>
      </w:pPr>
      <w:r>
        <w:rPr>
          <w:rFonts w:ascii="Times New Roman" w:hAnsi="Times New Roman" w:eastAsia="宋体" w:cs="Times New Roman"/>
          <w:b w:val="0"/>
          <w:sz w:val="24"/>
          <w:szCs w:val="24"/>
        </w:rPr>
        <w:t>弹头的化学活性必须在"快速标记"与"代谢稳定性"之间达成微妙平衡。传统的氯乙酰胺类弹头虽然反应性强，但极易被细胞内高浓度的谷胱甘肽（GSH）通过清除反应灭活。优化策略之一是采用氨基磺酸乙酰胺（Sulfamate Acetamides）等新型弹头，其在生理环境下表现出更优的化学稳定性，且对特定残基的选择性显著优于广谱亲核进攻。此外，可逆共价弹头（如氰基丙烯酰胺）的引入，为平衡标记强度与生物安全性提供了新思路，通过调控共价键的停留时间（Residence Time），降低了永久修饰可能带来的免疫原性风险。上述化学层面的优化需与细胞生物学层面的考量相辅相成——探针的膜通透性与时空可控性直接决定了其胞内靶标的适用性。</w:t>
      </w:r>
    </w:p>
    <w:p w14:paraId="5316EE83">
      <w:pPr>
        <w:spacing w:before="120" w:after="60" w:line="360" w:lineRule="auto"/>
        <w:ind w:left="0" w:firstLine="0"/>
        <w:jc w:val="left"/>
        <w:outlineLvl w:val="3"/>
      </w:pPr>
      <w:bookmarkStart w:id="17" w:name="heading_27"/>
      <w:r>
        <w:rPr>
          <w:rFonts w:ascii="Times New Roman" w:hAnsi="Times New Roman" w:eastAsia="黑体" w:cs="Times New Roman"/>
          <w:b/>
          <w:sz w:val="24"/>
          <w:szCs w:val="24"/>
        </w:rPr>
        <w:t>4.3 细胞膜通透性与时空可控性调控</w:t>
      </w:r>
      <w:bookmarkEnd w:id="17"/>
    </w:p>
    <w:p w14:paraId="32550F99">
      <w:pPr>
        <w:spacing w:before="0" w:after="0" w:line="360" w:lineRule="auto"/>
        <w:ind w:left="0" w:firstLine="480"/>
        <w:jc w:val="both"/>
      </w:pPr>
      <w:r>
        <w:rPr>
          <w:rFonts w:ascii="Times New Roman" w:hAnsi="Times New Roman" w:eastAsia="宋体" w:cs="Times New Roman"/>
          <w:b w:val="0"/>
          <w:sz w:val="24"/>
          <w:szCs w:val="24"/>
        </w:rPr>
        <w:t>针对胞内靶标的标记，探针的分子尺寸与膜通透性是决定其实用性的关键。相比于体积较大的光亲和标记基团（如 DZE），基于化学驱动的此类弹头通常更为小巧，有利于跨膜进入细胞。为了进一步提升标记的精确度，光笼（Photocaging）策略成为了智能化优化的核心。通过对 NASA 等弹头进行光敏基团保护，研究者实现了探针在亚微米尺度下的时空可控激活。这种策略不仅规避了紫外光对细胞的全局性损伤，还实现了对特定亚细胞区域蛋白质群落的"定向爆破式"标记，为复杂组织中的动态蛋白质组学研究提供了精密工具。</w:t>
      </w:r>
    </w:p>
    <w:p w14:paraId="2D19DDC7">
      <w:pPr>
        <w:spacing w:before="120" w:after="120" w:line="288" w:lineRule="auto"/>
        <w:ind w:left="0"/>
        <w:jc w:val="left"/>
      </w:pPr>
      <w:r>
        <w:t>上述技术优化策略正在推动这类探针从基础研究工具向治疗性应用转化。</w:t>
      </w:r>
    </w:p>
    <w:p w14:paraId="6FDD7372">
      <w:pPr>
        <w:spacing w:before="260" w:after="120" w:line="360" w:lineRule="auto"/>
        <w:ind w:left="0" w:firstLine="0"/>
        <w:jc w:val="left"/>
        <w:outlineLvl w:val="1"/>
      </w:pPr>
      <w:bookmarkStart w:id="18" w:name="heading_28"/>
      <w:r>
        <w:rPr>
          <w:rFonts w:ascii="Times New Roman" w:hAnsi="Times New Roman" w:eastAsia="黑体" w:cs="Times New Roman"/>
          <w:b/>
          <w:sz w:val="28"/>
          <w:szCs w:val="28"/>
        </w:rPr>
        <w:t>5 未来展望：从探针到疗法</w:t>
      </w:r>
      <w:bookmarkEnd w:id="18"/>
    </w:p>
    <w:p w14:paraId="302F6FD6">
      <w:pPr>
        <w:spacing w:before="0" w:after="0" w:line="360" w:lineRule="auto"/>
        <w:ind w:left="0" w:firstLine="480"/>
        <w:jc w:val="both"/>
      </w:pPr>
      <w:r>
        <w:rPr>
          <w:rFonts w:ascii="Times New Roman" w:hAnsi="Times New Roman" w:eastAsia="宋体" w:cs="Times New Roman"/>
          <w:b w:val="0"/>
          <w:sz w:val="24"/>
          <w:szCs w:val="24"/>
        </w:rPr>
        <w:t>邻位驱动共价技术正在逐步超越基础研究工具的范畴，向治疗性应用深度转化。</w:t>
      </w:r>
    </w:p>
    <w:p w14:paraId="45CA5AC5">
      <w:pPr>
        <w:spacing w:before="120" w:after="60" w:line="360" w:lineRule="auto"/>
        <w:ind w:left="0" w:firstLine="0"/>
        <w:jc w:val="left"/>
        <w:outlineLvl w:val="2"/>
      </w:pPr>
      <w:bookmarkStart w:id="19" w:name="heading_29"/>
      <w:r>
        <w:rPr>
          <w:rFonts w:ascii="Times New Roman" w:hAnsi="Times New Roman" w:eastAsia="黑体" w:cs="Times New Roman"/>
          <w:b/>
          <w:sz w:val="24"/>
          <w:szCs w:val="24"/>
        </w:rPr>
        <w:t>5.1 共价PROTACs与靶向蛋白降解</w:t>
      </w:r>
      <w:bookmarkEnd w:id="19"/>
    </w:p>
    <w:p w14:paraId="191C8077">
      <w:pPr>
        <w:spacing w:before="0" w:after="0" w:line="360" w:lineRule="auto"/>
        <w:ind w:left="0" w:firstLine="480"/>
        <w:jc w:val="both"/>
      </w:pPr>
      <w:r>
        <w:rPr>
          <w:rFonts w:ascii="Times New Roman" w:hAnsi="Times New Roman" w:eastAsia="宋体" w:cs="Times New Roman"/>
          <w:b w:val="0"/>
          <w:sz w:val="24"/>
          <w:szCs w:val="24"/>
        </w:rPr>
        <w:t>将LD化学与靶向蛋白降解技术（PROTACs）结合，是当前领域的研究热点。</w:t>
      </w:r>
    </w:p>
    <w:p w14:paraId="5FE5CA64">
      <w:pPr>
        <w:spacing w:before="0" w:after="0" w:line="360" w:lineRule="auto"/>
        <w:ind w:left="0" w:firstLine="480"/>
        <w:jc w:val="both"/>
      </w:pPr>
      <w:r>
        <w:rPr>
          <w:rFonts w:ascii="Times New Roman" w:hAnsi="Times New Roman" w:eastAsia="宋体" w:cs="Times New Roman"/>
          <w:b w:val="0"/>
          <w:sz w:val="24"/>
          <w:szCs w:val="24"/>
        </w:rPr>
        <w:t>共价PROTACs：利用CoLDR技术，可在标记目标蛋白的同时，同步释放E3连接酶招募配体，启动靶蛋白的泛素化-蛋白酶体降解。这种策略结合了共价结合的高选择性、高效性，与PROTAC技术的催化降解特性，实现了对传统非可成药靶点的高效降解[9]。</w:t>
      </w:r>
    </w:p>
    <w:p w14:paraId="61C90736">
      <w:pPr>
        <w:spacing w:before="0" w:after="0" w:line="360" w:lineRule="auto"/>
        <w:ind w:left="0" w:firstLine="480"/>
        <w:jc w:val="both"/>
      </w:pPr>
      <w:r>
        <w:rPr>
          <w:rFonts w:ascii="Times New Roman" w:hAnsi="Times New Roman" w:eastAsia="宋体" w:cs="Times New Roman"/>
          <w:b w:val="0"/>
          <w:sz w:val="24"/>
          <w:szCs w:val="24"/>
        </w:rPr>
        <w:t>工程化细胞治疗：科研人员利用LD化学修饰血小板表面的HSP90蛋白，使其携带可结合肿瘤标志物（如PD-L1）的靶向配体。这些工程化"降解血小板"可将肿瘤靶蛋白穿梭至溶酶体进行高效降解，充分展示了LD技术在细胞治疗领域的巨大潜力[27]。除靶向蛋白降解和细胞工程外，LD化学在神经科学领域的活体脑图谱绘制中同样展现出独特优势。</w:t>
      </w:r>
    </w:p>
    <w:p w14:paraId="2B502D8E">
      <w:pPr>
        <w:spacing w:before="120" w:after="60" w:line="360" w:lineRule="auto"/>
        <w:ind w:left="0" w:firstLine="0"/>
        <w:jc w:val="left"/>
        <w:outlineLvl w:val="2"/>
      </w:pPr>
      <w:bookmarkStart w:id="20" w:name="heading_30"/>
      <w:r>
        <w:rPr>
          <w:rFonts w:ascii="Times New Roman" w:hAnsi="Times New Roman" w:eastAsia="黑体" w:cs="Times New Roman"/>
          <w:b/>
          <w:sz w:val="24"/>
          <w:szCs w:val="24"/>
        </w:rPr>
        <w:t>5.2 活体脑图谱绘制</w:t>
      </w:r>
      <w:bookmarkEnd w:id="20"/>
    </w:p>
    <w:p w14:paraId="168F5024">
      <w:pPr>
        <w:spacing w:before="0" w:after="0" w:line="360" w:lineRule="auto"/>
        <w:ind w:left="0" w:firstLine="480"/>
        <w:jc w:val="both"/>
      </w:pPr>
      <w:r>
        <w:rPr>
          <w:rFonts w:ascii="Times New Roman" w:hAnsi="Times New Roman" w:eastAsia="宋体" w:cs="Times New Roman"/>
          <w:b w:val="0"/>
          <w:sz w:val="24"/>
          <w:szCs w:val="24"/>
        </w:rPr>
        <w:t>LD化学已成功应用于小鼠全脑的受体图谱绘制。通过脑脊液注射LD试剂，结合组织透明化与高分辨成像技术，可在全脑尺度上解析神经受体的分布、动态变化与相互作用网络。这种生物正交的受体修饰技术，为神经科学的环路解析与疾病机制研究，提供了前所未有的分子工具[3]。综上所述，从邻位驱动原理的确立到三代弹头化学的持续演进，再到跨领域的生物学应用，配体导向转移共价探针已发展为一个成熟的化学生物学平台。</w:t>
      </w:r>
    </w:p>
    <w:p w14:paraId="66FEDC58">
      <w:pPr>
        <w:spacing w:before="260" w:after="120" w:line="360" w:lineRule="auto"/>
        <w:ind w:left="0" w:firstLine="0"/>
        <w:jc w:val="left"/>
        <w:outlineLvl w:val="1"/>
      </w:pPr>
      <w:bookmarkStart w:id="21" w:name="heading_31"/>
      <w:r>
        <w:rPr>
          <w:rFonts w:ascii="Times New Roman" w:hAnsi="Times New Roman" w:eastAsia="黑体" w:cs="Times New Roman"/>
          <w:b/>
          <w:sz w:val="28"/>
          <w:szCs w:val="28"/>
        </w:rPr>
        <w:t>6 结论</w:t>
      </w:r>
      <w:bookmarkEnd w:id="21"/>
    </w:p>
    <w:p w14:paraId="23D9A662">
      <w:pPr>
        <w:spacing w:before="0" w:after="0" w:line="360" w:lineRule="auto"/>
        <w:ind w:left="0" w:firstLine="480"/>
        <w:jc w:val="both"/>
      </w:pPr>
      <w:r>
        <w:rPr>
          <w:rFonts w:ascii="Times New Roman" w:hAnsi="Times New Roman" w:eastAsia="宋体" w:cs="Times New Roman"/>
          <w:b w:val="0"/>
          <w:sz w:val="24"/>
          <w:szCs w:val="24"/>
        </w:rPr>
        <w:t>邻位驱动共价探针代表了化学与生物学交叉领域的标志性成就。通过精妙地利用"邻位效应"，科研人员成功将配体与蛋白的热力学亲和力，转化为位点特异性共价修饰的动力学反应性，实现了对复杂生物体系中蛋白质的精准、无痕、时空可控的标记与调控。</w:t>
      </w:r>
    </w:p>
    <w:p w14:paraId="1C8B6901">
      <w:pPr>
        <w:spacing w:before="0" w:after="0" w:line="360" w:lineRule="auto"/>
        <w:ind w:left="0" w:firstLine="480"/>
        <w:jc w:val="both"/>
      </w:pPr>
      <w:r>
        <w:rPr>
          <w:rFonts w:ascii="Times New Roman" w:hAnsi="Times New Roman" w:eastAsia="宋体" w:cs="Times New Roman"/>
          <w:b w:val="0"/>
          <w:sz w:val="24"/>
          <w:szCs w:val="24"/>
        </w:rPr>
        <w:t>从最初的传统亲和标记，到如今的NASA和CoLDR等多元化技术，邻位驱动共价探针的化学工具箱日益丰富。这些探针不仅是药物靶点发现的"雷达"，更是揭示生命活动分子机制的"显微镜"。随着新型弹头化学、可逆共价机制、位点特异性连接技术的不断突破，邻位驱动探针必将在未来的精准医学与系统生物学研究中，发挥更加核心的作用。</w:t>
      </w:r>
    </w:p>
    <w:p w14:paraId="5ADC3D83">
      <w:pPr>
        <w:pBdr>
          <w:bottom w:val="single" w:color="DEE0E3" w:sz="2" w:space="0"/>
          <w:between w:val="single" w:color="DEE0E3" w:sz="2" w:space="0"/>
        </w:pBdr>
        <w:spacing w:before="120" w:after="120" w:line="288" w:lineRule="auto"/>
        <w:ind w:left="0"/>
      </w:pPr>
    </w:p>
    <w:p w14:paraId="0ED3EE9E">
      <w:pPr>
        <w:pBdr>
          <w:bottom w:val="single" w:color="DEE0E3" w:sz="2" w:space="0"/>
          <w:between w:val="single" w:color="DEE0E3" w:sz="2" w:space="0"/>
        </w:pBdr>
        <w:spacing w:before="120" w:after="120" w:line="288" w:lineRule="auto"/>
        <w:ind w:left="0"/>
      </w:pPr>
    </w:p>
    <w:p w14:paraId="6C9161DE">
      <w:pPr>
        <w:spacing w:before="260" w:after="120" w:line="360" w:lineRule="auto"/>
        <w:ind w:left="0" w:firstLine="0"/>
        <w:jc w:val="left"/>
        <w:outlineLvl w:val="1"/>
      </w:pPr>
      <w:bookmarkStart w:id="22" w:name="heading_33"/>
      <w:r>
        <w:rPr>
          <w:rFonts w:ascii="Times New Roman" w:hAnsi="Times New Roman" w:eastAsia="黑体" w:cs="Times New Roman"/>
          <w:b/>
          <w:sz w:val="28"/>
          <w:szCs w:val="28"/>
        </w:rPr>
        <w:t>参考文献</w:t>
      </w:r>
      <w:bookmarkEnd w:id="22"/>
    </w:p>
    <w:p w14:paraId="6FAEFD98">
      <w:pPr>
        <w:spacing w:before="0" w:after="0" w:line="360" w:lineRule="auto"/>
        <w:ind w:left="0" w:firstLine="0"/>
        <w:jc w:val="both"/>
      </w:pPr>
      <w:r>
        <w:rPr>
          <w:rFonts w:ascii="Times New Roman" w:hAnsi="Times New Roman" w:eastAsia="宋体" w:cs="Times New Roman"/>
          <w:b w:val="0"/>
          <w:sz w:val="18"/>
          <w:szCs w:val="18"/>
        </w:rPr>
        <w:t>[1] Hamachi I, et al. Ligand-Directed Labeling of the Adenosine A1 Receptor in Living Cells[J]. PMC, 2025, 11284787.</w:t>
      </w:r>
    </w:p>
    <w:p w14:paraId="4CE75CC8">
      <w:pPr>
        <w:spacing w:before="0" w:after="0" w:line="360" w:lineRule="auto"/>
        <w:ind w:left="0" w:firstLine="0"/>
        <w:jc w:val="both"/>
      </w:pPr>
      <w:r>
        <w:rPr>
          <w:rFonts w:ascii="Times New Roman" w:hAnsi="Times New Roman" w:eastAsia="宋体" w:cs="Times New Roman"/>
          <w:b w:val="0"/>
          <w:sz w:val="18"/>
          <w:szCs w:val="18"/>
        </w:rPr>
        <w:t>[2] Tamura T, Hamachi I, et al. N-Acyl-N-alkyl/aryl Sulfonamide Chemistry Assisted by Proximity for Modification and Covalent Inhibition of Endogenous Proteins in Living Systems[J]. Accounts of Chemical Research, 2024, 57(18): 2456-2468.</w:t>
      </w:r>
    </w:p>
    <w:p w14:paraId="75D4E659">
      <w:pPr>
        <w:spacing w:before="0" w:after="0" w:line="360" w:lineRule="auto"/>
        <w:ind w:left="0" w:firstLine="0"/>
        <w:jc w:val="both"/>
      </w:pPr>
      <w:r>
        <w:rPr>
          <w:rFonts w:ascii="Times New Roman" w:hAnsi="Times New Roman" w:eastAsia="宋体" w:cs="Times New Roman"/>
          <w:b w:val="0"/>
          <w:sz w:val="18"/>
          <w:szCs w:val="18"/>
        </w:rPr>
        <w:t>[3] Wong K L, et al. Ligand-Directed Chemistry for Protein Labeling for Affinity-Based Protein Analysis[J]. Researcher Life, 2025.</w:t>
      </w:r>
    </w:p>
    <w:p w14:paraId="35224A69">
      <w:pPr>
        <w:spacing w:before="0" w:after="0" w:line="360" w:lineRule="auto"/>
        <w:ind w:left="0" w:firstLine="0"/>
        <w:jc w:val="both"/>
      </w:pPr>
      <w:r>
        <w:rPr>
          <w:rFonts w:ascii="Times New Roman" w:hAnsi="Times New Roman" w:eastAsia="宋体" w:cs="Times New Roman"/>
          <w:b w:val="0"/>
          <w:sz w:val="18"/>
          <w:szCs w:val="18"/>
        </w:rPr>
        <w:t>[4] Hill S J, et al. N-Acyl-N-Alkyl Sulfonamide Probes for Ligand-Directed Covalent Labeling of GPCRs: The Adenosine A2B Receptor as Case Study[J]. PMC, 2025, 11267576.</w:t>
      </w:r>
    </w:p>
    <w:p w14:paraId="6CF6DD0B">
      <w:pPr>
        <w:spacing w:before="0" w:after="0" w:line="360" w:lineRule="auto"/>
        <w:ind w:left="0" w:firstLine="0"/>
        <w:jc w:val="both"/>
      </w:pPr>
      <w:r>
        <w:rPr>
          <w:rFonts w:ascii="Times New Roman" w:hAnsi="Times New Roman" w:eastAsia="宋体" w:cs="Times New Roman"/>
          <w:b w:val="0"/>
          <w:sz w:val="18"/>
          <w:szCs w:val="18"/>
        </w:rPr>
        <w:t>[5] Bernhardt P M, et al. N-Acyl-N-Alkyl Sulfonamide Probes for Ligand-Directed Covalent Labeling[J]. ACS Chemical Biology, 2024, 19(8): 1789-1800.</w:t>
      </w:r>
    </w:p>
    <w:p w14:paraId="69E5C0DF">
      <w:pPr>
        <w:spacing w:before="0" w:after="0" w:line="360" w:lineRule="auto"/>
        <w:ind w:left="0" w:firstLine="0"/>
        <w:jc w:val="both"/>
      </w:pPr>
      <w:r>
        <w:rPr>
          <w:rFonts w:ascii="Times New Roman" w:hAnsi="Times New Roman" w:eastAsia="宋体" w:cs="Times New Roman"/>
          <w:b w:val="0"/>
          <w:sz w:val="18"/>
          <w:szCs w:val="18"/>
        </w:rPr>
        <w:t>[6] Müller C E, et al. Ligand-directed covalent labelling of adenosine receptors[J]. PMC, 2024, 12595162.</w:t>
      </w:r>
    </w:p>
    <w:p w14:paraId="157FAE6E">
      <w:pPr>
        <w:spacing w:before="0" w:after="0" w:line="360" w:lineRule="auto"/>
        <w:ind w:left="0" w:firstLine="0"/>
        <w:jc w:val="both"/>
      </w:pPr>
      <w:r>
        <w:rPr>
          <w:rFonts w:ascii="Times New Roman" w:hAnsi="Times New Roman" w:eastAsia="宋体" w:cs="Times New Roman"/>
          <w:b w:val="0"/>
          <w:sz w:val="18"/>
          <w:szCs w:val="18"/>
        </w:rPr>
        <w:t>[7] Pratt M R, et al. Covalent Ligand Electrophiles Are Differentially Activated by Proximity Effects Which Govern Latent Protein Reactivity[J]. ACS Central Science, 2025, 11(6): 1456-1468.</w:t>
      </w:r>
    </w:p>
    <w:p w14:paraId="04DF061D">
      <w:pPr>
        <w:spacing w:before="0" w:after="0" w:line="360" w:lineRule="auto"/>
        <w:ind w:left="0" w:firstLine="0"/>
        <w:jc w:val="both"/>
      </w:pPr>
      <w:r>
        <w:rPr>
          <w:rFonts w:ascii="Times New Roman" w:hAnsi="Times New Roman" w:eastAsia="宋体" w:cs="Times New Roman"/>
          <w:b w:val="0"/>
          <w:sz w:val="18"/>
          <w:szCs w:val="18"/>
        </w:rPr>
        <w:t>[8] Cravatt B F, et al. A perspective on cysteine-reactive activity-based probes[J]. RSC Publishing, 2025, 15(12): 4567-4582.</w:t>
      </w:r>
    </w:p>
    <w:p w14:paraId="31ACB3F9">
      <w:pPr>
        <w:spacing w:before="0" w:after="0" w:line="360" w:lineRule="auto"/>
        <w:ind w:left="0" w:firstLine="0"/>
        <w:jc w:val="both"/>
      </w:pPr>
      <w:r>
        <w:rPr>
          <w:rFonts w:ascii="Times New Roman" w:hAnsi="Times New Roman" w:eastAsia="宋体" w:cs="Times New Roman"/>
          <w:b w:val="0"/>
          <w:sz w:val="18"/>
          <w:szCs w:val="18"/>
        </w:rPr>
        <w:t>[9] Chen X, et al. Site-Specific Labeling of Endogenous Proteins Using CoLDR Chemistry[J]. Journal of the American Chemical Society, 2021, 143(40): 16542-16550.</w:t>
      </w:r>
    </w:p>
    <w:p w14:paraId="717ECD66">
      <w:pPr>
        <w:spacing w:before="0" w:after="0" w:line="360" w:lineRule="auto"/>
        <w:ind w:left="0" w:firstLine="0"/>
        <w:jc w:val="both"/>
      </w:pPr>
      <w:r>
        <w:rPr>
          <w:rFonts w:ascii="Times New Roman" w:hAnsi="Times New Roman" w:eastAsia="宋体" w:cs="Times New Roman"/>
          <w:b w:val="0"/>
          <w:sz w:val="18"/>
          <w:szCs w:val="18"/>
        </w:rPr>
        <w:t>[10] Ottmann C, et al. Reversible Dual-Covalent Molecular Locking of the 14-3-3/ERRγ Protein-Protein Interaction as a Molecular Glue Drug Discovery Approach[J]. Journal of the American Chemical Society, 2023, 145(5): 2987-2997.</w:t>
      </w:r>
    </w:p>
    <w:p w14:paraId="09144170">
      <w:pPr>
        <w:spacing w:before="0" w:after="0" w:line="360" w:lineRule="auto"/>
        <w:ind w:left="0" w:firstLine="0"/>
        <w:jc w:val="both"/>
      </w:pPr>
      <w:r>
        <w:rPr>
          <w:rFonts w:ascii="Times New Roman" w:hAnsi="Times New Roman" w:eastAsia="宋体" w:cs="Times New Roman"/>
          <w:b w:val="0"/>
          <w:sz w:val="18"/>
          <w:szCs w:val="18"/>
        </w:rPr>
        <w:t>[11] Somsen B J, et al. Reversible Dual-Covalent Molecular Locking of the 14-3-3/ERRγ Protein-Protein Interaction as a Molecular Glue Drug-Discovery[J]. University of Dundee, 2023.</w:t>
      </w:r>
    </w:p>
    <w:p w14:paraId="129B8461">
      <w:pPr>
        <w:spacing w:before="0" w:after="0" w:line="360" w:lineRule="auto"/>
        <w:ind w:left="0" w:firstLine="0"/>
        <w:jc w:val="both"/>
      </w:pPr>
      <w:r>
        <w:rPr>
          <w:rFonts w:ascii="Times New Roman" w:hAnsi="Times New Roman" w:eastAsia="宋体" w:cs="Times New Roman"/>
          <w:b w:val="0"/>
          <w:sz w:val="18"/>
          <w:szCs w:val="18"/>
        </w:rPr>
        <w:t>[12] Wong C H, et al. Affinity-based covalent sialyltransferase probes enabled by ligand-directed chemistry[J]. RSC Publishing, 2025, 15(8): 3456-3465.</w:t>
      </w:r>
    </w:p>
    <w:p w14:paraId="1C7ED16C">
      <w:pPr>
        <w:spacing w:before="0" w:after="0" w:line="360" w:lineRule="auto"/>
        <w:ind w:left="0" w:firstLine="0"/>
        <w:jc w:val="both"/>
      </w:pPr>
      <w:r>
        <w:rPr>
          <w:rFonts w:ascii="Times New Roman" w:hAnsi="Times New Roman" w:eastAsia="宋体" w:cs="Times New Roman"/>
          <w:b w:val="0"/>
          <w:sz w:val="18"/>
          <w:szCs w:val="18"/>
        </w:rPr>
        <w:t>[13] Tate E W, et al. Sulfamate Acetamides as Self-Immolative Electrophiles for Covalent Ligand-Directed Release Chemistry[J]. PMC, 2023, 9936582.</w:t>
      </w:r>
    </w:p>
    <w:p w14:paraId="0FAD62D7">
      <w:pPr>
        <w:spacing w:before="0" w:after="0" w:line="360" w:lineRule="auto"/>
        <w:ind w:left="0" w:firstLine="0"/>
        <w:jc w:val="both"/>
      </w:pPr>
      <w:r>
        <w:rPr>
          <w:rFonts w:ascii="Times New Roman" w:hAnsi="Times New Roman" w:eastAsia="宋体" w:cs="Times New Roman"/>
          <w:b w:val="0"/>
          <w:sz w:val="18"/>
          <w:szCs w:val="18"/>
        </w:rPr>
        <w:t>[14] Alvarez-Buylla A, et al. Visualizing endogenous opioid receptors in living neurons using ligand-directed chemistry[J]. eLife, 2020, 9: e49319.</w:t>
      </w:r>
    </w:p>
    <w:p w14:paraId="655A8DB2">
      <w:pPr>
        <w:spacing w:before="0" w:after="0" w:line="360" w:lineRule="auto"/>
        <w:ind w:left="0" w:firstLine="0"/>
        <w:jc w:val="both"/>
      </w:pPr>
      <w:r>
        <w:rPr>
          <w:rFonts w:ascii="Times New Roman" w:hAnsi="Times New Roman" w:eastAsia="宋体" w:cs="Times New Roman"/>
          <w:b w:val="0"/>
          <w:sz w:val="18"/>
          <w:szCs w:val="18"/>
        </w:rPr>
        <w:t>[15] Sharpless K B, et al. SuFEx-enabled, agnostic discovery of covalent inhibitors of human neutrophil elastase[J]. PNAS, 2019, 116(41): 20358-20364.</w:t>
      </w:r>
    </w:p>
    <w:p w14:paraId="3FFA63B8">
      <w:pPr>
        <w:spacing w:before="0" w:after="0" w:line="360" w:lineRule="auto"/>
        <w:ind w:left="0" w:firstLine="0"/>
        <w:jc w:val="both"/>
      </w:pPr>
      <w:r>
        <w:rPr>
          <w:rFonts w:ascii="Times New Roman" w:hAnsi="Times New Roman" w:eastAsia="宋体" w:cs="Times New Roman"/>
          <w:b w:val="0"/>
          <w:sz w:val="18"/>
          <w:szCs w:val="18"/>
        </w:rPr>
        <w:t>[16] Moses J E, et al. Sulfur fluoride exchange[J]. PMC, 2024, 11171465.</w:t>
      </w:r>
    </w:p>
    <w:p w14:paraId="3245F724">
      <w:pPr>
        <w:spacing w:before="0" w:after="0" w:line="360" w:lineRule="auto"/>
        <w:ind w:left="0" w:firstLine="0"/>
        <w:jc w:val="both"/>
      </w:pPr>
      <w:r>
        <w:rPr>
          <w:rFonts w:ascii="Times New Roman" w:hAnsi="Times New Roman" w:eastAsia="宋体" w:cs="Times New Roman"/>
          <w:b w:val="0"/>
          <w:sz w:val="18"/>
          <w:szCs w:val="18"/>
        </w:rPr>
        <w:t>[17] Jones L H, et al. Covalent drugs targeting histidine-An unexploited opportunity?[J]. ResearchGate, 2021, 363945177.</w:t>
      </w:r>
    </w:p>
    <w:p w14:paraId="0593D830">
      <w:pPr>
        <w:spacing w:before="0" w:after="0" w:line="360" w:lineRule="auto"/>
        <w:ind w:left="0" w:firstLine="0"/>
        <w:jc w:val="both"/>
      </w:pPr>
      <w:r>
        <w:rPr>
          <w:rFonts w:ascii="Times New Roman" w:hAnsi="Times New Roman" w:eastAsia="宋体" w:cs="Times New Roman"/>
          <w:b w:val="0"/>
          <w:sz w:val="18"/>
          <w:szCs w:val="18"/>
        </w:rPr>
        <w:t>[18] Sharpless K B, et al. SuFEx Chemistry Enables Covalent Assembly of a 280-kDa 18-Subunit Pore-Forming Complex[J]. Journal of the American Chemical Society, 2024, 146(32): 22345-22353.</w:t>
      </w:r>
    </w:p>
    <w:p w14:paraId="7BAEDB0C">
      <w:pPr>
        <w:spacing w:before="0" w:after="0" w:line="360" w:lineRule="auto"/>
        <w:ind w:left="0" w:firstLine="0"/>
        <w:jc w:val="both"/>
      </w:pPr>
      <w:r>
        <w:rPr>
          <w:rFonts w:ascii="Times New Roman" w:hAnsi="Times New Roman" w:eastAsia="宋体" w:cs="Times New Roman"/>
          <w:b w:val="0"/>
          <w:sz w:val="18"/>
          <w:szCs w:val="18"/>
        </w:rPr>
        <w:t>[19] Minteer S D, et al. An electroaffinity labeling platform for chemoproteomic-based target identification[J]. NSF PAR, 2022, 10422724.</w:t>
      </w:r>
    </w:p>
    <w:p w14:paraId="125E5C1C">
      <w:pPr>
        <w:spacing w:before="0" w:after="0" w:line="360" w:lineRule="auto"/>
        <w:ind w:left="0" w:firstLine="0"/>
        <w:jc w:val="both"/>
      </w:pPr>
      <w:r>
        <w:rPr>
          <w:rFonts w:ascii="Times New Roman" w:hAnsi="Times New Roman" w:eastAsia="宋体" w:cs="Times New Roman"/>
          <w:b w:val="0"/>
          <w:sz w:val="18"/>
          <w:szCs w:val="18"/>
        </w:rPr>
        <w:t>[20] Minteer S D, et al. Electroaffinity Labeling: A New Platform for Chemoproteomic-based Target Identification[J]. Semantic Scholar, 2022.</w:t>
      </w:r>
    </w:p>
    <w:p w14:paraId="35D516DF">
      <w:pPr>
        <w:spacing w:before="0" w:after="0" w:line="360" w:lineRule="auto"/>
        <w:ind w:left="0" w:firstLine="0"/>
        <w:jc w:val="both"/>
      </w:pPr>
      <w:r>
        <w:rPr>
          <w:rFonts w:ascii="Times New Roman" w:hAnsi="Times New Roman" w:eastAsia="宋体" w:cs="Times New Roman"/>
          <w:b w:val="0"/>
          <w:sz w:val="18"/>
          <w:szCs w:val="18"/>
        </w:rPr>
        <w:t>[21] Minteer S D, et al. Electroaffinity Labeling: A New Platform for Chemoproteomic-based Target Identification[J]. ResearchGate, 2022, 367795331.</w:t>
      </w:r>
    </w:p>
    <w:p w14:paraId="27E200C0">
      <w:pPr>
        <w:spacing w:before="0" w:after="0" w:line="360" w:lineRule="auto"/>
        <w:ind w:left="0" w:firstLine="0"/>
        <w:jc w:val="both"/>
      </w:pPr>
      <w:r>
        <w:rPr>
          <w:rFonts w:ascii="Times New Roman" w:hAnsi="Times New Roman" w:eastAsia="宋体" w:cs="Times New Roman"/>
          <w:b w:val="0"/>
          <w:sz w:val="18"/>
          <w:szCs w:val="18"/>
        </w:rPr>
        <w:t>[22] Woerpel K A, et al. The Stereoselectivity of Neighboring Group-Directed Glycosylation Is Concentration-Dependent[J]. Journal of the American Chemical Society, 2024, 146(49): 21345-21353.</w:t>
      </w:r>
    </w:p>
    <w:p w14:paraId="7726784F">
      <w:pPr>
        <w:spacing w:before="0" w:after="0" w:line="360" w:lineRule="auto"/>
        <w:ind w:left="0" w:firstLine="0"/>
        <w:jc w:val="both"/>
      </w:pPr>
      <w:r>
        <w:rPr>
          <w:rFonts w:ascii="Times New Roman" w:hAnsi="Times New Roman" w:eastAsia="宋体" w:cs="Times New Roman"/>
          <w:b w:val="0"/>
          <w:sz w:val="18"/>
          <w:szCs w:val="18"/>
        </w:rPr>
        <w:t>[23] Pinto B M, et al. On the Role of Neighboring Group Participation and Ortho Esters in β-Xylosylation: 13C NMR Observation of a Bridging 2-Phenyl-1,3-dioxalenium Ion[J]. The Journal of Organic Chemistry, 2000, 65(2): 439-446.</w:t>
      </w:r>
    </w:p>
    <w:p w14:paraId="4A3222B3">
      <w:pPr>
        <w:spacing w:before="0" w:after="0" w:line="360" w:lineRule="auto"/>
        <w:ind w:left="0" w:firstLine="0"/>
        <w:jc w:val="both"/>
      </w:pPr>
      <w:r>
        <w:rPr>
          <w:rFonts w:ascii="Times New Roman" w:hAnsi="Times New Roman" w:eastAsia="宋体" w:cs="Times New Roman"/>
          <w:b w:val="0"/>
          <w:sz w:val="18"/>
          <w:szCs w:val="18"/>
        </w:rPr>
        <w:t>[24] Chen X, et al. Tunable Methacrylamides for Covalent Ligand Directed Release Chemistry[J]. Journal of the American Chemical Society, 2020, 142(49): 20876-20885.</w:t>
      </w:r>
    </w:p>
    <w:p w14:paraId="1506766F">
      <w:pPr>
        <w:spacing w:before="0" w:after="0" w:line="360" w:lineRule="auto"/>
        <w:ind w:left="0" w:firstLine="0"/>
        <w:jc w:val="both"/>
      </w:pPr>
      <w:r>
        <w:rPr>
          <w:rFonts w:ascii="Times New Roman" w:hAnsi="Times New Roman" w:eastAsia="宋体" w:cs="Times New Roman"/>
          <w:b w:val="0"/>
          <w:sz w:val="18"/>
          <w:szCs w:val="18"/>
        </w:rPr>
        <w:t>[25] Fesik S W, et al. Covalent Targeting of Histidine Residues with Aryl Fluorosulfates: Application to Mcl-1 BH3 Mimetics[J]. Journal of Medicinal Chemistry, 2024, 67(12): 8456-8470.</w:t>
      </w:r>
    </w:p>
    <w:p w14:paraId="43F1DFB1">
      <w:pPr>
        <w:spacing w:before="0" w:after="0" w:line="360" w:lineRule="auto"/>
        <w:ind w:left="0" w:firstLine="0"/>
        <w:jc w:val="both"/>
      </w:pPr>
      <w:r>
        <w:rPr>
          <w:rFonts w:ascii="Times New Roman" w:hAnsi="Times New Roman" w:eastAsia="宋体" w:cs="Times New Roman"/>
          <w:b w:val="0"/>
          <w:sz w:val="18"/>
          <w:szCs w:val="18"/>
        </w:rPr>
        <w:t>[26] Bode J W, et al. Covalent Protein Inhibitors via Tyrosine Conjugation with Cyclic Imine Mannich Electrophiles[J]. ChemRxiv, 2022.</w:t>
      </w:r>
    </w:p>
    <w:p w14:paraId="52C54C59">
      <w:pPr>
        <w:spacing w:before="0" w:after="0" w:line="360" w:lineRule="auto"/>
        <w:ind w:left="0" w:firstLine="0"/>
        <w:jc w:val="both"/>
      </w:pPr>
      <w:r>
        <w:rPr>
          <w:rFonts w:ascii="Times New Roman" w:hAnsi="Times New Roman" w:eastAsia="宋体" w:cs="Times New Roman"/>
          <w:b w:val="0"/>
          <w:sz w:val="18"/>
          <w:szCs w:val="18"/>
        </w:rPr>
        <w:t>[27] Gray N S, et al. Proximity Effects Leveraged in Ligand-Directed Chemical Labeling of Natural Proteins under Live Conditions[J]. ResearchGate, 2024, 398029164.</w:t>
      </w:r>
    </w:p>
    <w:p w14:paraId="1E0B14D2">
      <w:pPr>
        <w:spacing w:before="0" w:after="0" w:line="360" w:lineRule="auto"/>
        <w:ind w:left="0" w:firstLine="0"/>
        <w:jc w:val="both"/>
      </w:pPr>
      <w:r>
        <w:rPr>
          <w:rFonts w:ascii="Times New Roman" w:hAnsi="Times New Roman" w:eastAsia="宋体" w:cs="Times New Roman"/>
          <w:b w:val="0"/>
          <w:sz w:val="18"/>
          <w:szCs w:val="18"/>
        </w:rPr>
        <w:t>[28] Lin C Y, et al. Optimisation of Ligand-Directed Labelling Probes for A1 Adenosine Receptors in Whole Cells: Development and Evaluation[J]. Nottingham ePrints, 2023, 82277.</w:t>
      </w:r>
    </w:p>
    <w:p w14:paraId="46CD6DAF">
      <w:pPr>
        <w:spacing w:before="0" w:after="0" w:line="360" w:lineRule="auto"/>
        <w:ind w:left="0" w:firstLine="0"/>
        <w:jc w:val="both"/>
      </w:pPr>
      <w:r>
        <w:rPr>
          <w:rFonts w:ascii="Times New Roman" w:hAnsi="Times New Roman" w:eastAsia="宋体" w:cs="Times New Roman"/>
          <w:b w:val="0"/>
          <w:sz w:val="18"/>
          <w:szCs w:val="18"/>
        </w:rPr>
        <w:t>[29] Huffman J W, et al. Exploring Ligand-Directed N-Acyl-N-alkylsulfonamide-Based Acylation Chemistry for Potential Targeted Degrader Development[J]. ResearchGate, 2021, 353392671.</w:t>
      </w:r>
    </w:p>
    <w:p w14:paraId="5D27A586">
      <w:pPr>
        <w:spacing w:before="0" w:after="0" w:line="360" w:lineRule="auto"/>
        <w:ind w:left="0" w:firstLine="0"/>
        <w:jc w:val="both"/>
      </w:pPr>
      <w:r>
        <w:rPr>
          <w:rFonts w:ascii="Times New Roman" w:hAnsi="Times New Roman" w:eastAsia="宋体" w:cs="Times New Roman"/>
          <w:b w:val="0"/>
          <w:sz w:val="18"/>
          <w:szCs w:val="18"/>
        </w:rPr>
        <w:t>[30] Xie X, et al. Platform Reagents Enable Synthesis of Ligand-Directed Covalent Probes: Study of Cannabinoid Receptor 2 in Live Cells[J]. PubMed, 2023, 37401816.</w:t>
      </w:r>
    </w:p>
    <w:p w14:paraId="241BD96A">
      <w:pPr>
        <w:spacing w:before="0" w:after="0" w:line="360" w:lineRule="auto"/>
        <w:ind w:left="0" w:firstLine="0"/>
        <w:jc w:val="both"/>
      </w:pPr>
      <w:r>
        <w:rPr>
          <w:rFonts w:ascii="Times New Roman" w:hAnsi="Times New Roman" w:eastAsia="宋体" w:cs="Times New Roman"/>
          <w:b w:val="0"/>
          <w:sz w:val="18"/>
          <w:szCs w:val="18"/>
        </w:rPr>
        <w:t>[31] Wong C H, et al. Affinity-based covalent sialyltransferase probes enabled by ligand-directed chemistry[J]. ResearchGate, 2025, 387986958.</w:t>
      </w:r>
    </w:p>
    <w:p w14:paraId="58AB1705">
      <w:pPr>
        <w:spacing w:before="0" w:after="0" w:line="360" w:lineRule="auto"/>
        <w:ind w:left="0" w:firstLine="0"/>
        <w:jc w:val="both"/>
      </w:pPr>
      <w:r>
        <w:rPr>
          <w:rFonts w:ascii="Times New Roman" w:hAnsi="Times New Roman" w:eastAsia="宋体" w:cs="Times New Roman"/>
          <w:b w:val="0"/>
          <w:sz w:val="18"/>
          <w:szCs w:val="18"/>
        </w:rPr>
        <w:t>[32] Ottmann C, et al. Reversible Covalent Imine-Tethering for Selective Stabilization of 14-3-3 Hub Protein Interactions[J]. NIH, 2022, 8193639.</w:t>
      </w:r>
    </w:p>
    <w:p w14:paraId="77374EA3">
      <w:pPr>
        <w:spacing w:before="0" w:after="0" w:line="360" w:lineRule="auto"/>
        <w:ind w:left="0" w:firstLine="0"/>
        <w:jc w:val="both"/>
      </w:pPr>
      <w:r>
        <w:rPr>
          <w:rFonts w:ascii="Times New Roman" w:hAnsi="Times New Roman" w:eastAsia="宋体" w:cs="Times New Roman"/>
          <w:b w:val="0"/>
          <w:sz w:val="18"/>
          <w:szCs w:val="18"/>
        </w:rPr>
        <w:t>[33] Parker C G, et al. Mapping low-affinity/high-specificity peptide-protein interactions[J]. PNAS, 2019, 116(12): 5497-5502.</w:t>
      </w:r>
    </w:p>
    <w:p w14:paraId="66348513">
      <w:pPr>
        <w:spacing w:before="0" w:after="0" w:line="360" w:lineRule="auto"/>
        <w:ind w:left="0" w:firstLine="0"/>
        <w:jc w:val="both"/>
      </w:pPr>
      <w:r>
        <w:rPr>
          <w:rFonts w:ascii="Times New Roman" w:hAnsi="Times New Roman" w:eastAsia="宋体" w:cs="Times New Roman"/>
          <w:b w:val="0"/>
          <w:sz w:val="18"/>
          <w:szCs w:val="18"/>
        </w:rPr>
        <w:t>[34] Yao J Z, et al. μMap photo-proximity labeling enables small molecule binding site mapping[J]. PMC, 2024, 10809032.</w:t>
      </w:r>
    </w:p>
    <w:p w14:paraId="511BCE37">
      <w:pPr>
        <w:spacing w:before="0" w:after="0" w:line="360" w:lineRule="auto"/>
        <w:ind w:left="0" w:firstLine="0"/>
        <w:jc w:val="both"/>
      </w:pPr>
      <w:r>
        <w:rPr>
          <w:rFonts w:ascii="Times New Roman" w:hAnsi="Times New Roman" w:eastAsia="宋体" w:cs="Times New Roman"/>
          <w:b w:val="0"/>
          <w:sz w:val="18"/>
          <w:szCs w:val="18"/>
        </w:rPr>
        <w:t>[35] Johnsson K, et al. The Cation-π Interaction Enables a Halo-Tag Fluorogenic Probe[J]. PMC, 2017, 5362743.</w:t>
      </w:r>
    </w:p>
    <w:p w14:paraId="43CEE603">
      <w:pPr>
        <w:spacing w:before="0" w:after="0" w:line="360" w:lineRule="auto"/>
        <w:ind w:left="0" w:firstLine="0"/>
        <w:jc w:val="both"/>
      </w:pPr>
      <w:r>
        <w:rPr>
          <w:rFonts w:ascii="Times New Roman" w:hAnsi="Times New Roman" w:eastAsia="宋体" w:cs="Times New Roman"/>
          <w:b w:val="0"/>
          <w:sz w:val="18"/>
          <w:szCs w:val="18"/>
        </w:rPr>
        <w:t>[36] Liebler D C, et al. Technologies for Direct Detection of Covalent Protein-Drug Adducts[J]. PMC, 2023, 10146396.</w:t>
      </w:r>
    </w:p>
    <w:p w14:paraId="143FA30C">
      <w:pPr>
        <w:spacing w:before="0" w:after="0" w:line="360" w:lineRule="auto"/>
        <w:ind w:left="0" w:firstLine="0"/>
        <w:jc w:val="both"/>
      </w:pPr>
      <w:r>
        <w:rPr>
          <w:rFonts w:ascii="Times New Roman" w:hAnsi="Times New Roman" w:eastAsia="宋体" w:cs="Times New Roman"/>
          <w:b w:val="0"/>
          <w:sz w:val="18"/>
          <w:szCs w:val="18"/>
        </w:rPr>
        <w:t>[37] Wittinghofer A, et al. Targeted Reversible Covalent Modification of a Noncatalytic Lysine of the Krev Interaction Trapped 1 Protein Enables Site-Directed Screening for Protein-Protein Interaction Inhibitors[J]. ACS Pharmacology &amp; Translational Science, 2023, 6(8): 1345-1356.</w:t>
      </w:r>
    </w:p>
    <w:p w14:paraId="16161586">
      <w:pPr>
        <w:spacing w:before="0" w:after="0" w:line="360" w:lineRule="auto"/>
        <w:ind w:left="0" w:firstLine="0"/>
        <w:jc w:val="both"/>
      </w:pPr>
      <w:r>
        <w:rPr>
          <w:rFonts w:ascii="Times New Roman" w:hAnsi="Times New Roman" w:eastAsia="宋体" w:cs="Times New Roman"/>
          <w:b w:val="0"/>
          <w:sz w:val="18"/>
          <w:szCs w:val="18"/>
        </w:rPr>
        <w:t>[38] Chilkoti A, et al. Photoactivatable Reaction for Covalent Nanoscale Patterning of Multiple Proteins[J]. PMC, 2019, 6640637.</w:t>
      </w:r>
    </w:p>
    <w:p w14:paraId="5F51BBCC">
      <w:pPr>
        <w:spacing w:before="0" w:after="0" w:line="360" w:lineRule="auto"/>
        <w:ind w:left="0" w:firstLine="0"/>
        <w:jc w:val="both"/>
      </w:pPr>
      <w:r>
        <w:rPr>
          <w:rFonts w:ascii="Times New Roman" w:hAnsi="Times New Roman" w:eastAsia="宋体" w:cs="Times New Roman"/>
          <w:b w:val="0"/>
          <w:sz w:val="18"/>
          <w:szCs w:val="18"/>
        </w:rPr>
        <w:t>[39] Hsieh-Wilson L C, et al. Photocaged Dicarbonyl Probe Provides Spatiotemporal Control Over Protein Glycation[J]. PMC, 2024, 10620854.</w:t>
      </w:r>
    </w:p>
    <w:p w14:paraId="09FE9990">
      <w:pPr>
        <w:spacing w:before="0" w:after="0" w:line="360" w:lineRule="auto"/>
        <w:ind w:left="0" w:firstLine="0"/>
        <w:jc w:val="both"/>
      </w:pPr>
      <w:r>
        <w:rPr>
          <w:rFonts w:ascii="Times New Roman" w:hAnsi="Times New Roman" w:eastAsia="宋体" w:cs="Times New Roman"/>
          <w:b w:val="0"/>
          <w:sz w:val="18"/>
          <w:szCs w:val="18"/>
        </w:rPr>
        <w:t>[40] Kawano M, Murakawa S, Higashiguchi K, et al. Lysine-Reactive N-Acyl-N-aryl Sulfonamide Warheads: Improved Reaction Properties and Application in the Covalent Inhibition of an Ibrutinib-Resistant BTK Mutant[J]. ResearchGate, 2022, 375805240.</w:t>
      </w:r>
    </w:p>
    <w:p w14:paraId="2B12CAD4">
      <w:pPr>
        <w:spacing w:before="0" w:after="0" w:line="360" w:lineRule="auto"/>
        <w:ind w:left="0" w:firstLine="0"/>
        <w:jc w:val="both"/>
      </w:pPr>
      <w:r>
        <w:rPr>
          <w:rFonts w:ascii="Times New Roman" w:hAnsi="Times New Roman" w:eastAsia="宋体" w:cs="Times New Roman"/>
          <w:b w:val="0"/>
          <w:sz w:val="18"/>
          <w:szCs w:val="18"/>
        </w:rPr>
        <w:t>[41] Tsukiji S, Miyagawa M, Takaoka Y, et al. Affinity-Guided Site-Selective Acylation of Proteins in Aqueous Solution[J]. Journal of the American Chemical Society, 2006, 128(37): 12370-12371. DOI: 10.1021/ja062448m.</w:t>
      </w:r>
    </w:p>
    <w:p w14:paraId="02680532">
      <w:pPr>
        <w:spacing w:before="0" w:after="0" w:line="360" w:lineRule="auto"/>
        <w:ind w:left="0" w:firstLine="0"/>
        <w:jc w:val="both"/>
      </w:pPr>
      <w:r>
        <w:rPr>
          <w:rFonts w:ascii="Times New Roman" w:hAnsi="Times New Roman" w:eastAsia="宋体" w:cs="Times New Roman"/>
          <w:b w:val="0"/>
          <w:sz w:val="18"/>
          <w:szCs w:val="18"/>
        </w:rPr>
        <w:t>[42] Tsukiji S, Nagano M, Ishikawa T, et al. Ligand-directed Tosyl Chemistry for Protein Labeling in vivo[J]. Nature Chemical Biology, 2009, 5(5): 341-343. DOI: 10.1038/nchembio.157.</w:t>
      </w:r>
    </w:p>
    <w:p w14:paraId="42D49B94">
      <w:pPr>
        <w:spacing w:before="0" w:after="0" w:line="360" w:lineRule="auto"/>
        <w:ind w:left="0" w:firstLine="0"/>
        <w:jc w:val="both"/>
      </w:pPr>
      <w:r>
        <w:rPr>
          <w:rFonts w:ascii="Times New Roman" w:hAnsi="Times New Roman" w:eastAsia="宋体" w:cs="Times New Roman"/>
          <w:b w:val="0"/>
          <w:sz w:val="18"/>
          <w:szCs w:val="18"/>
        </w:rPr>
        <w:t>[43] Fujishima S, Yasui R, Miki T, et al. Ligand-Directed Acyl Imidazole Chemistry for Labeling of Membrane-Bound Proteins on Live Cells[J]. Journal of the American Chemical Society, 2012, 134(9): 3961-3964. DOI: 10.1021/ja2108855.</w:t>
      </w:r>
    </w:p>
    <w:p w14:paraId="290BE9A1">
      <w:pPr>
        <w:spacing w:before="0" w:after="0" w:line="360" w:lineRule="auto"/>
        <w:ind w:left="0" w:firstLine="0"/>
        <w:jc w:val="both"/>
      </w:pPr>
      <w:r>
        <w:rPr>
          <w:rFonts w:ascii="Times New Roman" w:hAnsi="Times New Roman" w:eastAsia="宋体" w:cs="Times New Roman"/>
          <w:b w:val="0"/>
          <w:sz w:val="18"/>
          <w:szCs w:val="18"/>
        </w:rPr>
        <w:t>[44] Tamura T, Ueda T, Goto T, et al. Rapid labelling and covalent inhibition of intracellular native proteins using ligand-directed N-acyl-N-alkyl sulfonamide[J]. Nature Communications, 2018, 9(1): 1870. DOI: 10.1038/s41467-018-04343-0.</w:t>
      </w:r>
    </w:p>
    <w:p w14:paraId="38568D33">
      <w:pPr>
        <w:spacing w:before="0" w:after="0" w:line="360" w:lineRule="auto"/>
        <w:ind w:left="0" w:firstLine="0"/>
        <w:jc w:val="both"/>
      </w:pPr>
      <w:r>
        <w:rPr>
          <w:rFonts w:ascii="Times New Roman" w:hAnsi="Times New Roman" w:eastAsia="宋体" w:cs="Times New Roman"/>
          <w:b w:val="0"/>
          <w:sz w:val="18"/>
          <w:szCs w:val="18"/>
        </w:rPr>
        <w:t>[45] Tamura T, Hamachi I, et al. Photocaged N-Acyl-N-alkyl Sulfonamides for Spatiotemporally Controlled Ligand-Directed Protein Labeling in Living Animals[J]. Angewandte Chemie International Edition, 2025, DOI: 10.1002/anie.202506789.</w:t>
      </w:r>
    </w:p>
    <w:p w14:paraId="54B044C2">
      <w:pPr>
        <w:pBdr>
          <w:bottom w:val="single" w:color="DEE0E3" w:sz="2" w:space="0"/>
          <w:between w:val="single" w:color="DEE0E3" w:sz="2" w:space="0"/>
        </w:pBdr>
        <w:spacing w:before="120" w:after="120" w:line="288" w:lineRule="auto"/>
        <w:ind w:left="0"/>
      </w:pPr>
    </w:p>
    <w:p w14:paraId="081D3202">
      <w:pPr>
        <w:spacing w:before="0" w:after="0" w:line="360" w:lineRule="auto"/>
        <w:ind w:left="0" w:firstLine="0"/>
        <w:jc w:val="both"/>
      </w:pPr>
      <w:r>
        <w:rPr>
          <w:rFonts w:ascii="Times New Roman" w:hAnsi="Times New Roman" w:eastAsia="宋体" w:cs="Times New Roman"/>
          <w:b w:val="0"/>
          <w:sz w:val="18"/>
          <w:szCs w:val="18"/>
        </w:rPr>
        <w:t>[46] Liu Y, Chen W, Wang P, et al. Ligand-Directed Sulfur(VI) Fluoride Exchange Chemistry for Site-Selective Protein Labeling in Living Cells[J]. Angewandte Chemie International Edition, 2021, 60(34): 18672-18678. DOI: 10.1002/anie.202105876.</w:t>
      </w:r>
    </w:p>
    <w:p w14:paraId="33561A46">
      <w:pPr>
        <w:pBdr>
          <w:bottom w:val="single" w:color="DEE0E3" w:sz="2" w:space="0"/>
          <w:between w:val="single" w:color="DEE0E3" w:sz="2" w:space="0"/>
        </w:pBdr>
        <w:spacing w:before="120" w:after="120" w:line="288" w:lineRule="auto"/>
        <w:ind w:left="0"/>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1E96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837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82317"/>
    <w:rsid w:val="1B432692"/>
    <w:rsid w:val="446545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1136</Words>
  <Characters>1373</Characters>
  <TotalTime>5</TotalTime>
  <ScaleCrop>false</ScaleCrop>
  <LinksUpToDate>false</LinksUpToDate>
  <CharactersWithSpaces>1393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2026-03-22T11:31:00Z</dcterms:created>
  <dc:creator>Apache POI</dc:creator>
  <cp:lastModifiedBy>jsnn</cp:lastModifiedBy>
  <dcterms:modified xsi:type="dcterms:W3CDTF">2026-05-08T12:20:01Z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F082C5C578EE4733A4413E36458FC08B_13</vt:lpwstr>
  </property>
  <property fmtid="{D5CDD505-2E9C-101B-9397-08002B2CF9AE}" pid="4" name="KSOTemplateDocerSaveRecord">
    <vt:lpwstr>eyJoZGlkIjoiODIyNTU2ZGJmMzRmZTU1YzAxODEzMzcyODgxNzIxNWIiLCJ1c2VySWQiOiI4ODc5OTM5MzcifQ==</vt:lpwstr>
  </property>
</Properties>
</file>