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rPr>
        <w:t xml:space="preserve">Xinglong Zhou</w:t>
      </w:r>
      <w:r>
        <w:rPr>
          <w:rFonts w:ascii="Times New Roman" w:hAnsi="Times New Roman"/>
        </w:rPr>
        <w:t xml:space="preserve">1</w:t>
      </w:r>
      <w:r>
        <w:rPr>
          <w:rFonts w:ascii="Times New Roman" w:hAnsi="Times New Roman"/>
        </w:rPr>
        <w:t xml:space="preserve">, Wenbin Hou</w:t>
      </w:r>
      <w:r>
        <w:rPr>
          <w:rFonts w:ascii="Times New Roman" w:hAnsi="Times New Roman"/>
        </w:rPr>
        <w:t xml:space="preserve">1</w:t>
      </w:r>
      <w:r>
        <w:rPr>
          <w:rFonts w:ascii="Times New Roman" w:hAnsi="Times New Roman"/>
        </w:rPr>
        <w:t xml:space="preserve">, Yiliang Li</w:t>
      </w:r>
      <w:r>
        <w:rPr>
          <w:rFonts w:ascii="Times New Roman" w:hAnsi="Times New Roman"/>
        </w:rPr>
        <w:t xml:space="preserve">1,*</w:t>
      </w:r>
    </w:p>
    <w:p>
      <w:pPr>
        <w:pStyle w:val="BodyText"/>
      </w:pPr>
      <w:r>
        <w:rPr>
          <w:rFonts w:ascii="Times New Roman" w:hAnsi="Times New Roman"/>
        </w:rPr>
        <w:t xml:space="preserve">1</w:t>
      </w: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the first database specifically designed for covalent radiopharmaceutical target discovery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preserving native protein function.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database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6"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9,186 tumor samples, 10,535 total)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enabling direct assessment of off-target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experimentally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5" name="Picture"/>
            <a:graphic>
              <a:graphicData uri="http://schemas.openxmlformats.org/drawingml/2006/picture">
                <pic:pic>
                  <pic:nvPicPr>
                    <pic:cNvPr descr="results/figures/figure4_expression_features.png" id="16" name="Picture"/>
                    <pic:cNvPicPr>
                      <a:picLocks noChangeArrowheads="1" noChangeAspect="1"/>
                    </pic:cNvPicPr>
                  </pic:nvPicPr>
                  <pic:blipFill>
                    <a:blip r:embed="rId14"/>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tumor samples (91% of all samples) to 32 cancer types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18" name="Picture"/>
            <a:graphic>
              <a:graphicData uri="http://schemas.openxmlformats.org/drawingml/2006/picture">
                <pic:pic>
                  <pic:nvPicPr>
                    <pic:cNvPr descr="results/figures/figure6_cancer_heatmap.png" id="19" name="Picture"/>
                    <pic:cNvPicPr>
                      <a:picLocks noChangeArrowheads="1" noChangeAspect="1"/>
                    </pic:cNvPicPr>
                  </pic:nvPicPr>
                  <pic:blipFill>
                    <a:blip r:embed="rId17"/>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1" name="Picture"/>
            <a:graphic>
              <a:graphicData uri="http://schemas.openxmlformats.org/drawingml/2006/picture">
                <pic:pic>
                  <pic:nvPicPr>
                    <pic:cNvPr descr="results/figures/figure5_quality.png" id="22" name="Picture"/>
                    <pic:cNvPicPr>
                      <a:picLocks noChangeArrowheads="1" noChangeAspect="1"/>
                    </pic:cNvPicPr>
                  </pic:nvPicPr>
                  <pic:blipFill>
                    <a:blip r:embed="rId20"/>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4" name="Picture"/>
            <a:graphic>
              <a:graphicData uri="http://schemas.openxmlformats.org/drawingml/2006/picture">
                <pic:pic>
                  <pic:nvPicPr>
                    <pic:cNvPr descr="results/figures/figure7_covalent_comparison.png" id="25" name="Picture"/>
                    <pic:cNvPicPr>
                      <a:picLocks noChangeArrowheads="1" noChangeAspect="1"/>
                    </pic:cNvPicPr>
                  </pic:nvPicPr>
                  <pic:blipFill>
                    <a:blip r:embed="rId23"/>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6"/>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p>
      <w:pPr>
        <w:pStyle w:val="CaptionedFigure"/>
      </w:pPr>
      <w:r>
        <w:rPr>
          <w:rFonts w:ascii="Times New Roman" w:hAnsi="Times New Roman"/>
        </w:rPr>
        <w:drawing>
          <wp:inline>
            <wp:extent cx="5334000" cy="1555649"/>
            <wp:effectExtent b="0" l="0" r="0" t="0"/>
            <wp:docPr descr="Figure 2: Database overview." title="" id="28" name="Picture"/>
            <a:graphic>
              <a:graphicData uri="http://schemas.openxmlformats.org/drawingml/2006/picture">
                <pic:pic>
                  <pic:nvPicPr>
                    <pic:cNvPr descr="results/figures/figure1_overview.png" id="29" name="Picture"/>
                    <pic:cNvPicPr>
                      <a:picLocks noChangeArrowheads="1" noChangeAspect="1"/>
                    </pic:cNvPicPr>
                  </pic:nvPicPr>
                  <pic:blipFill>
                    <a:blip r:embed="rId27"/>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All ten targets now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9th.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experimental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supporting favorable safety profiles;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supported by [FUNDING INFORMATION TO BE ADDED].</w:t>
      </w:r>
    </w:p>
    <w:bookmarkEnd w:id="48"/>
    <w:bookmarkStart w:id="4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49"/>
    <w:bookmarkStart w:id="5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0"/>
    <w:bookmarkStart w:id="51"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Ibid. (comprehensive review of residue reactivity).</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(2019)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14" Type="http://schemas.openxmlformats.org/officeDocument/2006/relationships/image" Target="media/rId14.png"/><Relationship Id="rId20" Type="http://schemas.openxmlformats.org/officeDocument/2006/relationships/image" Target="media/rId20.png"/><Relationship Id="rId17" Type="http://schemas.openxmlformats.org/officeDocument/2006/relationships/image" Target="media/rId17.png"/><Relationship Id="rId23" Type="http://schemas.openxmlformats.org/officeDocument/2006/relationships/image" Target="media/rId23.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2026-05-21T13:59:07Z</dcterms:created>
  <dcterms:modified xsi:type="dcterms:W3CDTF">2026-05-21T13:59:07Z</dcterms:modified>
</cp:coreProperties>
</file>

<file path=docProps/custom.xml><?xml version="1.0" encoding="utf-8"?>
<Properties xmlns="http://schemas.openxmlformats.org/officeDocument/2006/custom-properties" xmlns:vt="http://schemas.openxmlformats.org/officeDocument/2006/docPropsVTypes"/>
</file>