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Editor,</w:t>
      </w:r>
    </w:p>
    <w:p>
      <w:pPr>
        <w:pStyle w:val="BodyText"/>
      </w:pPr>
      <w:r>
        <w:t xml:space="preserve">We submit</w:t>
      </w:r>
      <w:r>
        <w:t xml:space="preserve"> </w:t>
      </w:r>
      <w:r>
        <w:t xml:space="preserve">“LDT-TargetDB: A Structure- and Chemistry-Guided Computational Framework for Systematic Prioritization of Covalent Radiopharmaceutical Targets”</w:t>
      </w:r>
      <w:r>
        <w:t xml:space="preserve"> </w:t>
      </w:r>
      <w:r>
        <w:t xml:space="preserve">for consideration in Bioinformatics.</w:t>
      </w:r>
    </w:p>
    <w:p>
      <w:pPr>
        <w:pStyle w:val="BodyText"/>
      </w:pPr>
      <w:r>
        <w:t xml:space="preserve">This manuscript presents a systematic computational framework that integrates surface proteomics, pan-cancer transcriptomics, 3D structural pocket analysis, and covalent chemistry scoring to prioritize extracellular surface protein targets. The work directly addresses a recognized gap in computational drug discovery: no existing tool evaluates targets through the lens of covalent warhead chemistry.</w:t>
      </w:r>
    </w:p>
    <w:p>
      <w:pPr>
        <w:pStyle w:val="BodyText"/>
      </w:pPr>
      <w:r>
        <w:t xml:space="preserve">Key contributions include:</w:t>
      </w:r>
      <w:r>
        <w:t xml:space="preserve"> </w:t>
      </w:r>
      <w:r>
        <w:t xml:space="preserve">- Integration of AlphaFold-guided pocket detection with empirical pKa prediction and solvent accessibility to score nucleophilic residue reactivity</w:t>
      </w:r>
      <w:r>
        <w:t xml:space="preserve"> </w:t>
      </w:r>
      <w:r>
        <w:t xml:space="preserve">- Rigorous benchmarking with AUROC, AUPRC, ablation, and sensitivity analyses against 17 known nuclear medicine targets</w:t>
      </w:r>
      <w:r>
        <w:t xml:space="preserve"> </w:t>
      </w:r>
      <w:r>
        <w:t xml:space="preserve">- Multi-dimensional validation across DepMap, HPA, Open Targets, Ensembl, and TCGA</w:t>
      </w:r>
      <w:r>
        <w:t xml:space="preserve"> </w:t>
      </w:r>
      <w:r>
        <w:t xml:space="preserve">- Freely accessible interactive web interface with downloadable data</w:t>
      </w:r>
    </w:p>
    <w:p>
      <w:pPr>
        <w:pStyle w:val="BodyText"/>
      </w:pPr>
      <w:r>
        <w:t xml:space="preserve">We believe this work is appropriate for Bioinformatics as it provides a reusable computational methodology for target prioritization with broad applicability beyond radiopharmaceuticals.</w:t>
      </w:r>
    </w:p>
    <w:p>
      <w:pPr>
        <w:pStyle w:val="BodyText"/>
      </w:pPr>
      <w:r>
        <w:t xml:space="preserve">All authors approve this submission and declare no conflicts of interest.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Xinglong Zhou, Wenbin Hou, Yiliang Li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2026-06-05T07:53:14Z</dcterms:created>
  <dcterms:modified xsi:type="dcterms:W3CDTF">2026-06-05T07:53:14Z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