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  <w:jc w:val="left"/>
      </w:pPr>
      <w:r>
        <w:rPr>
          <w:rFonts w:ascii="Aptos" w:hAnsi="Aptos"/>
          <w:b/>
          <w:color w:val="000000"/>
          <w:sz w:val="44"/>
        </w:rPr>
        <w:t>CP4 Catalogo Guia de Execucao</w:t>
      </w:r>
    </w:p>
    <w:p>
      <w:pPr>
        <w:spacing w:after="280"/>
      </w:pPr>
      <w:r>
        <w:rPr>
          <w:rFonts w:ascii="Aptos" w:hAnsi="Aptos"/>
          <w:b w:val="0"/>
          <w:color w:val="464646"/>
          <w:sz w:val="21"/>
        </w:rPr>
        <w:t>FIAP C Sharp Software Development  Segundo semestre de 2026</w:t>
      </w:r>
    </w:p>
    <w:p>
      <w:pPr>
        <w:spacing w:after="120" w:line="269" w:lineRule="auto"/>
      </w:pPr>
      <w:r>
        <w:rPr>
          <w:rFonts w:ascii="Aptos" w:hAnsi="Aptos"/>
          <w:b w:val="0"/>
          <w:sz w:val="21"/>
        </w:rPr>
        <w:t>Este README descreve como executar a solução CP4 Catalogo e como alternar a persistência entre SQL Server e Oracle. A aplicação Web consome a API por HTTP e não acessa o banco de dados ou o DbContext diretamente.</w:t>
      </w:r>
    </w:p>
    <w:p>
      <w:pPr>
        <w:pStyle w:val="Heading1"/>
        <w:spacing w:before="280" w:after="100"/>
      </w:pPr>
      <w:r>
        <w:rPr>
          <w:rFonts w:ascii="Aptos" w:hAnsi="Aptos"/>
          <w:b/>
          <w:color w:val="000000"/>
          <w:sz w:val="28"/>
        </w:rPr>
        <w:t>Identificacao do grupo</w:t>
      </w:r>
    </w:p>
    <w:p>
      <w:pPr>
        <w:pStyle w:val="ListBullet"/>
        <w:spacing w:after="60"/>
      </w:pPr>
      <w:r>
        <w:rPr>
          <w:rFonts w:ascii="Aptos" w:hAnsi="Aptos"/>
          <w:b w:val="0"/>
          <w:sz w:val="21"/>
        </w:rPr>
        <w:t>Integrante identificado nos scripts: Fernando  RM 558095</w:t>
      </w:r>
    </w:p>
    <w:p>
      <w:pPr>
        <w:pStyle w:val="ListBullet"/>
        <w:spacing w:after="60"/>
      </w:pPr>
      <w:r>
        <w:rPr>
          <w:rFonts w:ascii="Aptos" w:hAnsi="Aptos"/>
          <w:b w:val="0"/>
          <w:sz w:val="21"/>
        </w:rPr>
        <w:t>Turma: FIAP C Sharp Software Development  Segundo semestre de 2026</w:t>
      </w:r>
    </w:p>
    <w:p>
      <w:pPr>
        <w:spacing w:after="120" w:line="269" w:lineRule="auto"/>
      </w:pPr>
      <w:r>
        <w:rPr>
          <w:rFonts w:ascii="Aptos" w:hAnsi="Aptos"/>
          <w:b w:val="0"/>
          <w:sz w:val="21"/>
        </w:rPr>
        <w:t>Se houver outros integrantes, inclua os respectivos nomes e RMs nesta seção antes da entrega final.</w:t>
      </w:r>
    </w:p>
    <w:p>
      <w:pPr>
        <w:pStyle w:val="Heading1"/>
        <w:spacing w:before="280" w:after="100"/>
      </w:pPr>
      <w:r>
        <w:rPr>
          <w:rFonts w:ascii="Aptos" w:hAnsi="Aptos"/>
          <w:b/>
          <w:color w:val="000000"/>
          <w:sz w:val="28"/>
        </w:rPr>
        <w:t>Estrutura da solucao</w:t>
      </w:r>
    </w:p>
    <w:p>
      <w:pPr>
        <w:pStyle w:val="ListBullet"/>
        <w:spacing w:after="60"/>
      </w:pPr>
      <w:r>
        <w:rPr>
          <w:rFonts w:ascii="Aptos" w:hAnsi="Aptos"/>
          <w:b w:val="0"/>
          <w:sz w:val="21"/>
        </w:rPr>
        <w:t>CP4.Catalogo.Data: entidades Categoria e Produto, CatalogoDbContext e configuração dos providers.</w:t>
      </w:r>
    </w:p>
    <w:p>
      <w:pPr>
        <w:pStyle w:val="ListBullet"/>
        <w:spacing w:after="60"/>
      </w:pPr>
      <w:r>
        <w:rPr>
          <w:rFonts w:ascii="Aptos" w:hAnsi="Aptos"/>
          <w:b w:val="0"/>
          <w:sz w:val="21"/>
        </w:rPr>
        <w:t>CP4.Catalogo.Api: endpoints REST, DTOs, validação, Swagger e leitura do header X Database Provider.</w:t>
      </w:r>
    </w:p>
    <w:p>
      <w:pPr>
        <w:pStyle w:val="ListBullet"/>
        <w:spacing w:after="60"/>
      </w:pPr>
      <w:r>
        <w:rPr>
          <w:rFonts w:ascii="Aptos" w:hAnsi="Aptos"/>
          <w:b w:val="0"/>
          <w:sz w:val="21"/>
        </w:rPr>
        <w:t>CP4.Catalogo.Web: interface MVC, HttpClient, async await e seletor de provider.</w:t>
      </w:r>
    </w:p>
    <w:p>
      <w:pPr>
        <w:pStyle w:val="Heading1"/>
        <w:spacing w:before="280" w:after="100"/>
      </w:pPr>
      <w:r>
        <w:rPr>
          <w:rFonts w:ascii="Aptos" w:hAnsi="Aptos"/>
          <w:b/>
          <w:color w:val="000000"/>
          <w:sz w:val="28"/>
        </w:rPr>
        <w:t>Pre requisitos</w:t>
      </w:r>
    </w:p>
    <w:p>
      <w:pPr>
        <w:pStyle w:val="ListBullet"/>
        <w:spacing w:after="60"/>
      </w:pPr>
      <w:r>
        <w:rPr>
          <w:rFonts w:ascii="Aptos" w:hAnsi="Aptos"/>
          <w:b w:val="0"/>
          <w:sz w:val="21"/>
        </w:rPr>
        <w:t>SDK .NET 8 instalado.</w:t>
      </w:r>
    </w:p>
    <w:p>
      <w:pPr>
        <w:pStyle w:val="ListBullet"/>
        <w:spacing w:after="60"/>
      </w:pPr>
      <w:r>
        <w:rPr>
          <w:rFonts w:ascii="Aptos" w:hAnsi="Aptos"/>
          <w:b w:val="0"/>
          <w:sz w:val="21"/>
        </w:rPr>
        <w:t>SQL Server ou LocalDB para executar o provider SqlServer.</w:t>
      </w:r>
    </w:p>
    <w:p>
      <w:pPr>
        <w:pStyle w:val="ListBullet"/>
        <w:spacing w:after="60"/>
      </w:pPr>
      <w:r>
        <w:rPr>
          <w:rFonts w:ascii="Aptos" w:hAnsi="Aptos"/>
          <w:b w:val="0"/>
          <w:sz w:val="21"/>
        </w:rPr>
        <w:t>Oracle XE com o PDB XEPDB1 ou o ambiente Oracle institucional para executar o provider Oracle.</w:t>
      </w:r>
    </w:p>
    <w:p>
      <w:pPr>
        <w:pStyle w:val="ListBullet"/>
        <w:spacing w:after="60"/>
      </w:pPr>
      <w:r>
        <w:rPr>
          <w:rFonts w:ascii="Aptos" w:hAnsi="Aptos"/>
          <w:b w:val="0"/>
          <w:sz w:val="21"/>
        </w:rPr>
        <w:t>Certificado HTTPS de desenvolvimento confiável para usar os perfis HTTPS locais.</w:t>
      </w:r>
    </w:p>
    <w:p>
      <w:pPr>
        <w:pStyle w:val="Heading1"/>
        <w:spacing w:before="280" w:after="100"/>
      </w:pPr>
      <w:r>
        <w:rPr>
          <w:rFonts w:ascii="Aptos" w:hAnsi="Aptos"/>
          <w:b/>
          <w:color w:val="000000"/>
          <w:sz w:val="28"/>
        </w:rPr>
        <w:t>Preparacao dos bancos</w:t>
      </w:r>
    </w:p>
    <w:p>
      <w:pPr>
        <w:spacing w:after="120" w:line="269" w:lineRule="auto"/>
      </w:pPr>
      <w:r>
        <w:rPr>
          <w:rFonts w:ascii="Aptos" w:hAnsi="Aptos"/>
          <w:b w:val="0"/>
          <w:sz w:val="21"/>
        </w:rPr>
        <w:t>SQL Server: execute scripts CP4_Fernando_RM_558095_SQLServer.sql. O script cria o database CP4_Fernando_RM_558095, as tabelas CATEGORIAS e PRODUTOS, o relacionamento e dados de exemplo.</w:t>
      </w:r>
    </w:p>
    <w:p>
      <w:pPr>
        <w:spacing w:after="120" w:line="269" w:lineRule="auto"/>
      </w:pPr>
      <w:r>
        <w:rPr>
          <w:rFonts w:ascii="Aptos" w:hAnsi="Aptos"/>
          <w:b w:val="0"/>
          <w:sz w:val="21"/>
        </w:rPr>
        <w:t>Oracle XE local: em uma conexão administrativa no serviço XEPDB1, execute scripts CP4_Fernando_RM_558095_Oracle_XE_Local_Admin.sql. Troque a senha de exemplo no script e use a mesma senha na configuração da API.</w:t>
      </w:r>
    </w:p>
    <w:p>
      <w:pPr>
        <w:spacing w:after="120" w:line="269" w:lineRule="auto"/>
      </w:pPr>
      <w:r>
        <w:rPr>
          <w:rFonts w:ascii="Aptos" w:hAnsi="Aptos"/>
          <w:b w:val="0"/>
          <w:sz w:val="21"/>
        </w:rPr>
        <w:t>Oracle institucional: conecte com o usuário autorizado e execute scripts CP4_Fernando_RM_558095_Oracle_Institucional.sql. Esse script não cria usuários.</w:t>
      </w:r>
    </w:p>
    <w:p>
      <w:pPr>
        <w:pStyle w:val="Heading1"/>
        <w:spacing w:before="280" w:after="100"/>
      </w:pPr>
      <w:r>
        <w:rPr>
          <w:rFonts w:ascii="Aptos" w:hAnsi="Aptos"/>
          <w:b/>
          <w:color w:val="000000"/>
          <w:sz w:val="28"/>
        </w:rPr>
        <w:t>Connection strings</w:t>
      </w:r>
    </w:p>
    <w:p>
      <w:pPr>
        <w:spacing w:after="120" w:line="269" w:lineRule="auto"/>
      </w:pPr>
      <w:r>
        <w:rPr>
          <w:rFonts w:ascii="Aptos" w:hAnsi="Aptos"/>
          <w:b w:val="0"/>
          <w:sz w:val="21"/>
        </w:rPr>
        <w:t>As connection strings ficam em CP4.Catalogo.Api appsettings.json. A configuração padrão seleciona SqlServer. Ajuste a string Oracle antes de testar esse provider. Não registre senhas reais neste documento, no repositório ou nas evidências públicas.</w:t>
      </w:r>
    </w:p>
    <w:p>
      <w:pPr>
        <w:spacing w:after="80"/>
        <w:ind w:left="360"/>
      </w:pPr>
      <w:r>
        <w:rPr>
          <w:rFonts w:ascii="Consolas" w:hAnsi="Consolas"/>
          <w:b w:val="0"/>
          <w:sz w:val="19"/>
        </w:rPr>
        <w:t>"DefaultProvider": "SqlServer"</w:t>
      </w:r>
    </w:p>
    <w:p>
      <w:pPr>
        <w:spacing w:after="80"/>
        <w:ind w:left="360"/>
      </w:pPr>
      <w:r>
        <w:rPr>
          <w:rFonts w:ascii="Consolas" w:hAnsi="Consolas"/>
          <w:b w:val="0"/>
          <w:sz w:val="19"/>
        </w:rPr>
        <w:t>"SqlServer": "Server=(localdb)\MSSQLLocalDB;Database=CP4_Fernando_RM_558095;..."</w:t>
      </w:r>
    </w:p>
    <w:p>
      <w:pPr>
        <w:spacing w:after="80"/>
        <w:ind w:left="360"/>
      </w:pPr>
      <w:r>
        <w:rPr>
          <w:rFonts w:ascii="Consolas" w:hAnsi="Consolas"/>
          <w:b w:val="0"/>
          <w:sz w:val="19"/>
        </w:rPr>
        <w:t>"Oracle": "User Id=CP4_FERNANDO_RM_558095;Password=SUA_SENHA;Data Source=localhost:1521/XEPDB1"</w:t>
      </w:r>
    </w:p>
    <w:p>
      <w:pPr>
        <w:pStyle w:val="Heading1"/>
        <w:spacing w:before="280" w:after="100"/>
      </w:pPr>
      <w:r>
        <w:rPr>
          <w:rFonts w:ascii="Aptos" w:hAnsi="Aptos"/>
          <w:b/>
          <w:color w:val="000000"/>
          <w:sz w:val="28"/>
        </w:rPr>
        <w:t>Como iniciar a aplicacao</w:t>
      </w:r>
    </w:p>
    <w:p>
      <w:pPr>
        <w:spacing w:after="120" w:line="269" w:lineRule="auto"/>
      </w:pPr>
      <w:r>
        <w:rPr>
          <w:rFonts w:ascii="Aptos" w:hAnsi="Aptos"/>
          <w:b w:val="0"/>
          <w:sz w:val="21"/>
        </w:rPr>
        <w:t>Abra CP4.Catalogo.sln no Visual Studio e configure CP4.Catalogo.Api e CP4.Catalogo.Web como projetos de inicialização múltipla. Como alternativa, use dois terminais na raiz da solução.</w:t>
      </w:r>
    </w:p>
    <w:p>
      <w:pPr>
        <w:spacing w:after="80"/>
        <w:ind w:left="360"/>
      </w:pPr>
      <w:r>
        <w:rPr>
          <w:rFonts w:ascii="Consolas" w:hAnsi="Consolas"/>
          <w:b w:val="0"/>
          <w:sz w:val="19"/>
        </w:rPr>
        <w:t>dotnet run --project CP4.Catalogo.Api --launch-profile https</w:t>
      </w:r>
    </w:p>
    <w:p>
      <w:pPr>
        <w:spacing w:after="80"/>
        <w:ind w:left="360"/>
      </w:pPr>
      <w:r>
        <w:rPr>
          <w:rFonts w:ascii="Consolas" w:hAnsi="Consolas"/>
          <w:b w:val="0"/>
          <w:sz w:val="19"/>
        </w:rPr>
        <w:t>dotnet run --project CP4.Catalogo.Web --launch-profile https</w:t>
      </w:r>
    </w:p>
    <w:p>
      <w:pPr>
        <w:spacing w:after="120" w:line="269" w:lineRule="auto"/>
      </w:pPr>
      <w:r>
        <w:rPr>
          <w:rFonts w:ascii="Aptos" w:hAnsi="Aptos"/>
          <w:b w:val="0"/>
          <w:sz w:val="21"/>
        </w:rPr>
        <w:t>Com os perfis atuais, o Swagger fica em https://localhost:7030/swagger e a interface MVC fica em https://localhost:7113. A Web usa https://localhost:7030 como endereço base da API.</w:t>
      </w:r>
    </w:p>
    <w:p>
      <w:pPr>
        <w:pStyle w:val="Heading1"/>
        <w:spacing w:before="280" w:after="100"/>
      </w:pPr>
      <w:r>
        <w:rPr>
          <w:rFonts w:ascii="Aptos" w:hAnsi="Aptos"/>
          <w:b/>
          <w:color w:val="000000"/>
          <w:sz w:val="28"/>
        </w:rPr>
        <w:t>Selecao do provider</w:t>
      </w:r>
    </w:p>
    <w:p>
      <w:pPr>
        <w:spacing w:after="120" w:line="269" w:lineRule="auto"/>
      </w:pPr>
      <w:r>
        <w:rPr>
          <w:rFonts w:ascii="Aptos" w:hAnsi="Aptos"/>
          <w:b w:val="0"/>
          <w:sz w:val="21"/>
        </w:rPr>
        <w:t>Na interface MVC, escolha SQL Server ou Oracle no seletor da tela Catálogo de Produtos. A Web encaminha a escolha no header X Database Provider. A API valida o valor, responde com o provider utilizado no mesmo header e cria o CatalogoDbContext com UseSqlServer ou UseOracle.</w:t>
      </w:r>
    </w:p>
    <w:p>
      <w:pPr>
        <w:spacing w:after="120" w:line="269" w:lineRule="auto"/>
      </w:pPr>
      <w:r>
        <w:rPr>
          <w:rFonts w:ascii="Aptos" w:hAnsi="Aptos"/>
          <w:b w:val="0"/>
          <w:sz w:val="21"/>
        </w:rPr>
        <w:t>No Swagger, informe o mesmo header em cada operação. Valores aceitos: SqlServer e Oracle. Se o header estiver ausente, a API usa o DefaultProvider de appsettings.json.</w:t>
      </w:r>
    </w:p>
    <w:p>
      <w:pPr>
        <w:pStyle w:val="Heading1"/>
        <w:spacing w:before="280" w:after="100"/>
      </w:pPr>
      <w:r>
        <w:rPr>
          <w:rFonts w:ascii="Aptos" w:hAnsi="Aptos"/>
          <w:b/>
          <w:color w:val="000000"/>
          <w:sz w:val="28"/>
        </w:rPr>
        <w:t>Endpoints obrigatorios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/>
        </w:trPr>
        <w:tc>
          <w:tcPr>
            <w:tcW w:type="dxa" w:w="1123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Método</w:t>
            </w:r>
          </w:p>
        </w:tc>
        <w:tc>
          <w:tcPr>
            <w:tcW w:type="dxa" w:w="2448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672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Objetivo</w:t>
            </w:r>
          </w:p>
        </w:tc>
        <w:tc>
          <w:tcPr>
            <w:tcW w:type="dxa" w:w="1944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HTTP</w:t>
            </w:r>
          </w:p>
        </w:tc>
      </w:tr>
      <w:tr>
        <w:tc>
          <w:tcPr>
            <w:tcW w:type="dxa" w:w="11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sz w:val="18"/>
              </w:rPr>
              <w:t>GET</w:t>
            </w:r>
          </w:p>
        </w:tc>
        <w:tc>
          <w:tcPr>
            <w:tcW w:type="dxa" w:w="24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sz w:val="18"/>
              </w:rPr>
              <w:t>/api/produtos</w:t>
            </w:r>
          </w:p>
        </w:tc>
        <w:tc>
          <w:tcPr>
            <w:tcW w:type="dxa" w:w="367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sz w:val="18"/>
              </w:rPr>
              <w:t>Lista produtos</w:t>
            </w:r>
          </w:p>
        </w:tc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center"/>
            </w:pPr>
            <w:r>
              <w:rPr>
                <w:rFonts w:ascii="Aptos" w:hAnsi="Aptos"/>
                <w:b w:val="0"/>
                <w:sz w:val="18"/>
              </w:rPr>
              <w:t>200</w:t>
            </w:r>
          </w:p>
        </w:tc>
      </w:tr>
      <w:tr>
        <w:tc>
          <w:tcPr>
            <w:tcW w:type="dxa" w:w="11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3F6FA"/>
          </w:tcPr>
          <w:p>
            <w:pPr>
              <w:jc w:val="center"/>
            </w:pPr>
            <w:r>
              <w:rPr>
                <w:rFonts w:ascii="Aptos" w:hAnsi="Aptos"/>
                <w:b/>
                <w:sz w:val="18"/>
              </w:rPr>
              <w:t>GET</w:t>
            </w:r>
          </w:p>
        </w:tc>
        <w:tc>
          <w:tcPr>
            <w:tcW w:type="dxa" w:w="24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3F6FA"/>
          </w:tcPr>
          <w:p>
            <w:pPr>
              <w:jc w:val="left"/>
            </w:pPr>
            <w:r>
              <w:rPr>
                <w:rFonts w:ascii="Aptos" w:hAnsi="Aptos"/>
                <w:b w:val="0"/>
                <w:sz w:val="18"/>
              </w:rPr>
              <w:t>/api/produtos/{id}</w:t>
            </w:r>
          </w:p>
        </w:tc>
        <w:tc>
          <w:tcPr>
            <w:tcW w:type="dxa" w:w="367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3F6FA"/>
          </w:tcPr>
          <w:p>
            <w:pPr>
              <w:jc w:val="left"/>
            </w:pPr>
            <w:r>
              <w:rPr>
                <w:rFonts w:ascii="Aptos" w:hAnsi="Aptos"/>
                <w:b w:val="0"/>
                <w:sz w:val="18"/>
              </w:rPr>
              <w:t>Consulta produto</w:t>
            </w:r>
          </w:p>
        </w:tc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3F6FA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18"/>
              </w:rPr>
              <w:t>200 ou 404</w:t>
            </w:r>
          </w:p>
        </w:tc>
      </w:tr>
      <w:tr>
        <w:tc>
          <w:tcPr>
            <w:tcW w:type="dxa" w:w="11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sz w:val="18"/>
              </w:rPr>
              <w:t>POST</w:t>
            </w:r>
          </w:p>
        </w:tc>
        <w:tc>
          <w:tcPr>
            <w:tcW w:type="dxa" w:w="24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sz w:val="18"/>
              </w:rPr>
              <w:t>/api/produtos</w:t>
            </w:r>
          </w:p>
        </w:tc>
        <w:tc>
          <w:tcPr>
            <w:tcW w:type="dxa" w:w="367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sz w:val="18"/>
              </w:rPr>
              <w:t>Cadastra produto</w:t>
            </w:r>
          </w:p>
        </w:tc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center"/>
            </w:pPr>
            <w:r>
              <w:rPr>
                <w:rFonts w:ascii="Aptos" w:hAnsi="Aptos"/>
                <w:b w:val="0"/>
                <w:sz w:val="18"/>
              </w:rPr>
              <w:t>201 ou 400</w:t>
            </w:r>
          </w:p>
        </w:tc>
      </w:tr>
      <w:tr>
        <w:tc>
          <w:tcPr>
            <w:tcW w:type="dxa" w:w="11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3F6FA"/>
          </w:tcPr>
          <w:p>
            <w:pPr>
              <w:jc w:val="center"/>
            </w:pPr>
            <w:r>
              <w:rPr>
                <w:rFonts w:ascii="Aptos" w:hAnsi="Aptos"/>
                <w:b/>
                <w:sz w:val="18"/>
              </w:rPr>
              <w:t>PUT</w:t>
            </w:r>
          </w:p>
        </w:tc>
        <w:tc>
          <w:tcPr>
            <w:tcW w:type="dxa" w:w="24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3F6FA"/>
          </w:tcPr>
          <w:p>
            <w:pPr>
              <w:jc w:val="left"/>
            </w:pPr>
            <w:r>
              <w:rPr>
                <w:rFonts w:ascii="Aptos" w:hAnsi="Aptos"/>
                <w:b w:val="0"/>
                <w:sz w:val="18"/>
              </w:rPr>
              <w:t>/api/produtos/{id}</w:t>
            </w:r>
          </w:p>
        </w:tc>
        <w:tc>
          <w:tcPr>
            <w:tcW w:type="dxa" w:w="367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3F6FA"/>
          </w:tcPr>
          <w:p>
            <w:pPr>
              <w:jc w:val="left"/>
            </w:pPr>
            <w:r>
              <w:rPr>
                <w:rFonts w:ascii="Aptos" w:hAnsi="Aptos"/>
                <w:b w:val="0"/>
                <w:sz w:val="18"/>
              </w:rPr>
              <w:t>Atualiza produto</w:t>
            </w:r>
          </w:p>
        </w:tc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3F6FA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18"/>
              </w:rPr>
              <w:t>204, 400 ou 404</w:t>
            </w:r>
          </w:p>
        </w:tc>
      </w:tr>
      <w:tr>
        <w:tc>
          <w:tcPr>
            <w:tcW w:type="dxa" w:w="11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sz w:val="18"/>
              </w:rPr>
              <w:t>DELETE</w:t>
            </w:r>
          </w:p>
        </w:tc>
        <w:tc>
          <w:tcPr>
            <w:tcW w:type="dxa" w:w="24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sz w:val="18"/>
              </w:rPr>
              <w:t>/api/produtos/{id}</w:t>
            </w:r>
          </w:p>
        </w:tc>
        <w:tc>
          <w:tcPr>
            <w:tcW w:type="dxa" w:w="367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sz w:val="18"/>
              </w:rPr>
              <w:t>Exclui produto</w:t>
            </w:r>
          </w:p>
        </w:tc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center"/>
            </w:pPr>
            <w:r>
              <w:rPr>
                <w:rFonts w:ascii="Aptos" w:hAnsi="Aptos"/>
                <w:b w:val="0"/>
                <w:sz w:val="18"/>
              </w:rPr>
              <w:t>204 ou 404</w:t>
            </w:r>
          </w:p>
        </w:tc>
      </w:tr>
      <w:tr>
        <w:tc>
          <w:tcPr>
            <w:tcW w:type="dxa" w:w="11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3F6FA"/>
          </w:tcPr>
          <w:p>
            <w:pPr>
              <w:jc w:val="center"/>
            </w:pPr>
            <w:r>
              <w:rPr>
                <w:rFonts w:ascii="Aptos" w:hAnsi="Aptos"/>
                <w:b/>
                <w:sz w:val="18"/>
              </w:rPr>
              <w:t>GET</w:t>
            </w:r>
          </w:p>
        </w:tc>
        <w:tc>
          <w:tcPr>
            <w:tcW w:type="dxa" w:w="24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3F6FA"/>
          </w:tcPr>
          <w:p>
            <w:pPr>
              <w:jc w:val="left"/>
            </w:pPr>
            <w:r>
              <w:rPr>
                <w:rFonts w:ascii="Aptos" w:hAnsi="Aptos"/>
                <w:b w:val="0"/>
                <w:sz w:val="18"/>
              </w:rPr>
              <w:t>/api/categorias</w:t>
            </w:r>
          </w:p>
        </w:tc>
        <w:tc>
          <w:tcPr>
            <w:tcW w:type="dxa" w:w="367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3F6FA"/>
          </w:tcPr>
          <w:p>
            <w:pPr>
              <w:jc w:val="left"/>
            </w:pPr>
            <w:r>
              <w:rPr>
                <w:rFonts w:ascii="Aptos" w:hAnsi="Aptos"/>
                <w:b w:val="0"/>
                <w:sz w:val="18"/>
              </w:rPr>
              <w:t>Lista categorias</w:t>
            </w:r>
          </w:p>
        </w:tc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3F6FA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18"/>
              </w:rPr>
              <w:t>200</w:t>
            </w:r>
          </w:p>
        </w:tc>
      </w:tr>
      <w:tr>
        <w:tc>
          <w:tcPr>
            <w:tcW w:type="dxa" w:w="11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sz w:val="18"/>
              </w:rPr>
              <w:t>POST</w:t>
            </w:r>
          </w:p>
        </w:tc>
        <w:tc>
          <w:tcPr>
            <w:tcW w:type="dxa" w:w="24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sz w:val="18"/>
              </w:rPr>
              <w:t>/api/categorias</w:t>
            </w:r>
          </w:p>
        </w:tc>
        <w:tc>
          <w:tcPr>
            <w:tcW w:type="dxa" w:w="367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sz w:val="18"/>
              </w:rPr>
              <w:t>Cadastra categoria</w:t>
            </w:r>
          </w:p>
        </w:tc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center"/>
            </w:pPr>
            <w:r>
              <w:rPr>
                <w:rFonts w:ascii="Aptos" w:hAnsi="Aptos"/>
                <w:b w:val="0"/>
                <w:sz w:val="18"/>
              </w:rPr>
              <w:t>201 ou 400</w:t>
            </w:r>
          </w:p>
        </w:tc>
      </w:tr>
    </w:tbl>
    <w:p>
      <w:pPr>
        <w:pStyle w:val="Heading1"/>
        <w:spacing w:before="280" w:after="100"/>
      </w:pPr>
      <w:r>
        <w:rPr>
          <w:rFonts w:ascii="Aptos" w:hAnsi="Aptos"/>
          <w:b/>
          <w:color w:val="000000"/>
          <w:sz w:val="28"/>
        </w:rPr>
        <w:t>Checklist de entrega</w:t>
      </w:r>
    </w:p>
    <w:p>
      <w:pPr>
        <w:pStyle w:val="ListBullet"/>
        <w:spacing w:after="60"/>
      </w:pPr>
      <w:r>
        <w:rPr>
          <w:rFonts w:ascii="Aptos" w:hAnsi="Aptos"/>
          <w:b w:val="0"/>
          <w:sz w:val="21"/>
        </w:rPr>
        <w:t>Compile a solução e execute GET api produtos com SqlServer e Oracle.</w:t>
      </w:r>
    </w:p>
    <w:p>
      <w:pPr>
        <w:pStyle w:val="ListBullet"/>
        <w:spacing w:after="60"/>
      </w:pPr>
      <w:r>
        <w:rPr>
          <w:rFonts w:ascii="Aptos" w:hAnsi="Aptos"/>
          <w:b w:val="0"/>
          <w:sz w:val="21"/>
        </w:rPr>
        <w:t>Registre as evidências do Swagger, dos dois bancos e da interface MVC mostrando o provider selecionado.</w:t>
      </w:r>
    </w:p>
    <w:p>
      <w:pPr>
        <w:pStyle w:val="ListBullet"/>
        <w:spacing w:after="60"/>
      </w:pPr>
      <w:r>
        <w:rPr>
          <w:rFonts w:ascii="Aptos" w:hAnsi="Aptos"/>
          <w:b w:val="0"/>
          <w:sz w:val="21"/>
        </w:rPr>
        <w:t>Entregue CP4.Catalogo.sln, os três projetos, a pasta scripts e este README.</w:t>
      </w:r>
    </w:p>
    <w:p>
      <w:pPr>
        <w:pStyle w:val="ListBullet"/>
        <w:spacing w:after="60"/>
      </w:pPr>
      <w:r>
        <w:rPr>
          <w:rFonts w:ascii="Aptos" w:hAnsi="Aptos"/>
          <w:b w:val="0"/>
          <w:sz w:val="21"/>
        </w:rPr>
        <w:t>Não inclua as pastas bin e obj no arquivo ZIP.</w:t>
      </w:r>
    </w:p>
    <w:sectPr w:rsidR="00FC693F" w:rsidRPr="0006063C" w:rsidSect="00034616">
      <w:pgSz w:w="12240" w:h="15840"/>
      <w:pgMar w:top="1037" w:right="1152" w:bottom="1037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CP4 Catalogo Guia de Execucao</dc:title>
  <dc:subject>Instruções de execução da solução CP4 Catalogo</dc:subject>
  <dc:creator>Fernando RM 558095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