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A06FB">
      <w:pPr>
        <w:pStyle w:val="3"/>
        <w:rPr>
          <w:rFonts w:hint="default" w:ascii="Calibri" w:hAnsi="Calibri" w:cs="Calibri"/>
          <w:color w:val="auto"/>
        </w:rPr>
      </w:pPr>
      <w:r>
        <w:rPr>
          <w:rFonts w:hint="default" w:ascii="Calibri" w:hAnsi="Calibri" w:cs="Calibri"/>
          <w:color w:val="auto"/>
          <w:sz w:val="28"/>
          <w:szCs w:val="28"/>
        </w:rPr>
        <w:t>Comparison of Event Sourcing and Traditional Database Approaches</w:t>
      </w:r>
    </w:p>
    <w:p w14:paraId="400F5FA7">
      <w:pPr>
        <w:pStyle w:val="3"/>
        <w:rPr>
          <w:rFonts w:hint="default" w:ascii="Calibri" w:hAnsi="Calibri" w:cs="Calibri"/>
          <w:color w:val="auto"/>
          <w:sz w:val="24"/>
          <w:szCs w:val="24"/>
        </w:rPr>
      </w:pPr>
      <w:r>
        <w:rPr>
          <w:rFonts w:hint="default" w:ascii="Calibri" w:hAnsi="Calibri" w:cs="Calibri"/>
          <w:color w:val="auto"/>
          <w:sz w:val="24"/>
          <w:szCs w:val="24"/>
        </w:rPr>
        <w:t>1. What Are Event Sourcing and Traditional Database Approaches?</w:t>
      </w:r>
    </w:p>
    <w:p w14:paraId="1941EF7C">
      <w:pPr>
        <w:rPr>
          <w:rFonts w:hint="default" w:ascii="Calibri" w:hAnsi="Calibri" w:cs="Calibri"/>
          <w:color w:val="auto"/>
        </w:rPr>
      </w:pPr>
      <w:r>
        <w:rPr>
          <w:rFonts w:hint="default" w:ascii="Calibri" w:hAnsi="Calibri" w:cs="Calibri"/>
          <w:color w:val="auto"/>
        </w:rPr>
        <w:t>Event sourcing is a data management pattern where all changes to application state are captured as a sequence of events. These events are stored immutably and can be replayed to reconstruct the current state. This model is increasingly adopted in microservices architectures requiring audit trails and state reconstruction.</w:t>
      </w:r>
    </w:p>
    <w:p w14:paraId="144BF0D6">
      <w:pPr>
        <w:rPr>
          <w:rFonts w:hint="default" w:ascii="Calibri" w:hAnsi="Calibri" w:cs="Calibri"/>
          <w:color w:val="auto"/>
        </w:rPr>
      </w:pPr>
      <w:r>
        <w:rPr>
          <w:rFonts w:hint="default" w:ascii="Calibri" w:hAnsi="Calibri" w:cs="Calibri"/>
          <w:color w:val="auto"/>
        </w:rPr>
        <w:t>In contrast, traditional database approaches store the current state directly, such as a user document or product record. This is simple and efficient for most use cases, particularly in read-heavy systems with stable data models.</w:t>
      </w:r>
    </w:p>
    <w:p w14:paraId="5AC77139">
      <w:pPr>
        <w:rPr>
          <w:rFonts w:hint="default" w:ascii="Calibri" w:hAnsi="Calibri" w:cs="Calibri"/>
          <w:color w:val="auto"/>
        </w:rPr>
      </w:pPr>
      <w:r>
        <w:rPr>
          <w:rFonts w:hint="default" w:ascii="Calibri" w:hAnsi="Calibri" w:cs="Calibri"/>
          <w:color w:val="auto"/>
        </w:rPr>
        <w:t>In MongoDB, events can be stored as documents in a collection, often time-ordered, while traditional models store finalized state documents directly.</w:t>
      </w:r>
    </w:p>
    <w:p w14:paraId="2457E5CD">
      <w:pPr>
        <w:pStyle w:val="4"/>
        <w:numPr>
          <w:ilvl w:val="0"/>
          <w:numId w:val="7"/>
        </w:numPr>
        <w:rPr>
          <w:rFonts w:hint="default" w:ascii="Calibri" w:hAnsi="Calibri" w:cs="Calibri"/>
          <w:color w:val="auto"/>
          <w:sz w:val="24"/>
          <w:szCs w:val="24"/>
        </w:rPr>
      </w:pPr>
      <w:r>
        <w:rPr>
          <w:rFonts w:hint="default" w:ascii="Calibri" w:hAnsi="Calibri" w:cs="Calibri"/>
          <w:color w:val="auto"/>
          <w:sz w:val="24"/>
          <w:szCs w:val="24"/>
        </w:rPr>
        <w:t>What Are the Strengths and Weaknesses of Each Approach in MongoDB?</w:t>
      </w:r>
    </w:p>
    <w:tbl>
      <w:tblPr>
        <w:tblW w:w="85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3143"/>
        <w:gridCol w:w="2626"/>
        <w:gridCol w:w="2735"/>
      </w:tblGrid>
      <w:tr w14:paraId="58FB93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919" w:hRule="atLeast"/>
          <w:jc w:val="center"/>
        </w:trPr>
        <w:tc>
          <w:tcPr>
            <w:tcW w:w="3143" w:type="dxa"/>
            <w:tcBorders>
              <w:top w:val="single" w:color="000000" w:sz="8" w:space="0"/>
              <w:left w:val="single" w:color="000000" w:sz="8" w:space="0"/>
              <w:bottom w:val="single" w:color="000000" w:sz="8" w:space="0"/>
              <w:right w:val="single" w:color="000000" w:sz="8" w:space="0"/>
            </w:tcBorders>
            <w:shd w:val="clear"/>
            <w:vAlign w:val="center"/>
          </w:tcPr>
          <w:p w14:paraId="329C33D4">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Criteria</w:t>
            </w:r>
          </w:p>
        </w:tc>
        <w:tc>
          <w:tcPr>
            <w:tcW w:w="2626" w:type="dxa"/>
            <w:tcBorders>
              <w:top w:val="single" w:color="000000" w:sz="8" w:space="0"/>
              <w:left w:val="single" w:color="000000" w:sz="8" w:space="0"/>
              <w:bottom w:val="single" w:color="000000" w:sz="8" w:space="0"/>
              <w:right w:val="single" w:color="000000" w:sz="8" w:space="0"/>
            </w:tcBorders>
            <w:shd w:val="clear"/>
            <w:vAlign w:val="center"/>
          </w:tcPr>
          <w:p w14:paraId="724B47F3">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Event Sourcing</w:t>
            </w:r>
          </w:p>
        </w:tc>
        <w:tc>
          <w:tcPr>
            <w:tcW w:w="2735" w:type="dxa"/>
            <w:tcBorders>
              <w:top w:val="single" w:color="000000" w:sz="8" w:space="0"/>
              <w:left w:val="single" w:color="000000" w:sz="8" w:space="0"/>
              <w:bottom w:val="single" w:color="000000" w:sz="8" w:space="0"/>
              <w:right w:val="single" w:color="000000" w:sz="8" w:space="0"/>
            </w:tcBorders>
            <w:shd w:val="clear"/>
            <w:vAlign w:val="center"/>
          </w:tcPr>
          <w:p w14:paraId="62755B6B">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Traditional Approach</w:t>
            </w:r>
          </w:p>
        </w:tc>
      </w:tr>
      <w:tr w14:paraId="7339E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15" w:hRule="atLeast"/>
          <w:jc w:val="center"/>
        </w:trPr>
        <w:tc>
          <w:tcPr>
            <w:tcW w:w="3143" w:type="dxa"/>
            <w:tcBorders>
              <w:top w:val="single" w:color="000000" w:sz="8" w:space="0"/>
              <w:left w:val="single" w:color="000000" w:sz="8" w:space="0"/>
              <w:bottom w:val="single" w:color="000000" w:sz="8" w:space="0"/>
              <w:right w:val="single" w:color="000000" w:sz="8" w:space="0"/>
            </w:tcBorders>
            <w:shd w:val="clear"/>
            <w:vAlign w:val="center"/>
          </w:tcPr>
          <w:p w14:paraId="00E5BBBA">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Write Performance</w:t>
            </w:r>
          </w:p>
        </w:tc>
        <w:tc>
          <w:tcPr>
            <w:tcW w:w="2626" w:type="dxa"/>
            <w:tcBorders>
              <w:top w:val="single" w:color="000000" w:sz="8" w:space="0"/>
              <w:left w:val="single" w:color="000000" w:sz="8" w:space="0"/>
              <w:bottom w:val="single" w:color="000000" w:sz="8" w:space="0"/>
              <w:right w:val="single" w:color="000000" w:sz="8" w:space="0"/>
            </w:tcBorders>
            <w:shd w:val="clear"/>
            <w:vAlign w:val="center"/>
          </w:tcPr>
          <w:p w14:paraId="1407E22B">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High: append-only events, lightweight writes</w:t>
            </w:r>
          </w:p>
        </w:tc>
        <w:tc>
          <w:tcPr>
            <w:tcW w:w="2735" w:type="dxa"/>
            <w:tcBorders>
              <w:top w:val="single" w:color="000000" w:sz="8" w:space="0"/>
              <w:left w:val="single" w:color="000000" w:sz="8" w:space="0"/>
              <w:bottom w:val="single" w:color="000000" w:sz="8" w:space="0"/>
              <w:right w:val="single" w:color="000000" w:sz="8" w:space="0"/>
            </w:tcBorders>
            <w:shd w:val="clear"/>
            <w:vAlign w:val="center"/>
          </w:tcPr>
          <w:p w14:paraId="3A69B746">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Moderate: requires document updates</w:t>
            </w:r>
          </w:p>
        </w:tc>
      </w:tr>
      <w:tr w14:paraId="3286D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27" w:hRule="atLeast"/>
          <w:jc w:val="center"/>
        </w:trPr>
        <w:tc>
          <w:tcPr>
            <w:tcW w:w="3143" w:type="dxa"/>
            <w:tcBorders>
              <w:top w:val="single" w:color="000000" w:sz="8" w:space="0"/>
              <w:left w:val="single" w:color="000000" w:sz="8" w:space="0"/>
              <w:bottom w:val="single" w:color="000000" w:sz="8" w:space="0"/>
              <w:right w:val="single" w:color="000000" w:sz="8" w:space="0"/>
            </w:tcBorders>
            <w:shd w:val="clear"/>
            <w:vAlign w:val="center"/>
          </w:tcPr>
          <w:p w14:paraId="74ACA681">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Read Performance</w:t>
            </w:r>
          </w:p>
        </w:tc>
        <w:tc>
          <w:tcPr>
            <w:tcW w:w="2626" w:type="dxa"/>
            <w:tcBorders>
              <w:top w:val="single" w:color="000000" w:sz="8" w:space="0"/>
              <w:left w:val="single" w:color="000000" w:sz="8" w:space="0"/>
              <w:bottom w:val="single" w:color="000000" w:sz="8" w:space="0"/>
              <w:right w:val="single" w:color="000000" w:sz="8" w:space="0"/>
            </w:tcBorders>
            <w:shd w:val="clear"/>
            <w:vAlign w:val="center"/>
          </w:tcPr>
          <w:p w14:paraId="395D76E5">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Low: needs replay or snapshot rehydration</w:t>
            </w:r>
          </w:p>
        </w:tc>
        <w:tc>
          <w:tcPr>
            <w:tcW w:w="2735" w:type="dxa"/>
            <w:tcBorders>
              <w:top w:val="single" w:color="000000" w:sz="8" w:space="0"/>
              <w:left w:val="single" w:color="000000" w:sz="8" w:space="0"/>
              <w:bottom w:val="single" w:color="000000" w:sz="8" w:space="0"/>
              <w:right w:val="single" w:color="000000" w:sz="8" w:space="0"/>
            </w:tcBorders>
            <w:shd w:val="clear"/>
            <w:vAlign w:val="center"/>
          </w:tcPr>
          <w:p w14:paraId="2CE6EB1A">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High: direct query access to current state</w:t>
            </w:r>
          </w:p>
        </w:tc>
      </w:tr>
      <w:tr w14:paraId="618CB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34" w:hRule="atLeast"/>
          <w:jc w:val="center"/>
        </w:trPr>
        <w:tc>
          <w:tcPr>
            <w:tcW w:w="3143" w:type="dxa"/>
            <w:tcBorders>
              <w:top w:val="single" w:color="000000" w:sz="8" w:space="0"/>
              <w:left w:val="single" w:color="000000" w:sz="8" w:space="0"/>
              <w:bottom w:val="single" w:color="000000" w:sz="8" w:space="0"/>
              <w:right w:val="single" w:color="000000" w:sz="8" w:space="0"/>
            </w:tcBorders>
            <w:shd w:val="clear"/>
            <w:vAlign w:val="center"/>
          </w:tcPr>
          <w:p w14:paraId="1C6D0566">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Scalability</w:t>
            </w:r>
          </w:p>
        </w:tc>
        <w:tc>
          <w:tcPr>
            <w:tcW w:w="2626" w:type="dxa"/>
            <w:tcBorders>
              <w:top w:val="single" w:color="000000" w:sz="8" w:space="0"/>
              <w:left w:val="single" w:color="000000" w:sz="8" w:space="0"/>
              <w:bottom w:val="single" w:color="000000" w:sz="8" w:space="0"/>
              <w:right w:val="single" w:color="000000" w:sz="8" w:space="0"/>
            </w:tcBorders>
            <w:shd w:val="clear"/>
            <w:vAlign w:val="center"/>
          </w:tcPr>
          <w:p w14:paraId="12092EF8">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Natural horizontal scaling with event streams</w:t>
            </w:r>
          </w:p>
        </w:tc>
        <w:tc>
          <w:tcPr>
            <w:tcW w:w="2735" w:type="dxa"/>
            <w:tcBorders>
              <w:top w:val="single" w:color="000000" w:sz="8" w:space="0"/>
              <w:left w:val="single" w:color="000000" w:sz="8" w:space="0"/>
              <w:bottom w:val="single" w:color="000000" w:sz="8" w:space="0"/>
              <w:right w:val="single" w:color="000000" w:sz="8" w:space="0"/>
            </w:tcBorders>
            <w:shd w:val="clear"/>
            <w:vAlign w:val="center"/>
          </w:tcPr>
          <w:p w14:paraId="584A4EB2">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Relies on MongoDB sharding and replication</w:t>
            </w:r>
          </w:p>
        </w:tc>
      </w:tr>
      <w:tr w14:paraId="7277B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03" w:hRule="atLeast"/>
          <w:jc w:val="center"/>
        </w:trPr>
        <w:tc>
          <w:tcPr>
            <w:tcW w:w="3143" w:type="dxa"/>
            <w:tcBorders>
              <w:top w:val="single" w:color="000000" w:sz="8" w:space="0"/>
              <w:left w:val="single" w:color="000000" w:sz="8" w:space="0"/>
              <w:bottom w:val="single" w:color="000000" w:sz="8" w:space="0"/>
              <w:right w:val="single" w:color="000000" w:sz="8" w:space="0"/>
            </w:tcBorders>
            <w:shd w:val="clear"/>
            <w:vAlign w:val="center"/>
          </w:tcPr>
          <w:p w14:paraId="4F170F0B">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Audit &amp; Traceability</w:t>
            </w:r>
          </w:p>
        </w:tc>
        <w:tc>
          <w:tcPr>
            <w:tcW w:w="2626" w:type="dxa"/>
            <w:tcBorders>
              <w:top w:val="single" w:color="000000" w:sz="8" w:space="0"/>
              <w:left w:val="single" w:color="000000" w:sz="8" w:space="0"/>
              <w:bottom w:val="single" w:color="000000" w:sz="8" w:space="0"/>
              <w:right w:val="single" w:color="000000" w:sz="8" w:space="0"/>
            </w:tcBorders>
            <w:shd w:val="clear"/>
            <w:vAlign w:val="center"/>
          </w:tcPr>
          <w:p w14:paraId="5A0D223D">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Complete historical visibility</w:t>
            </w:r>
          </w:p>
        </w:tc>
        <w:tc>
          <w:tcPr>
            <w:tcW w:w="2735" w:type="dxa"/>
            <w:tcBorders>
              <w:top w:val="single" w:color="000000" w:sz="8" w:space="0"/>
              <w:left w:val="single" w:color="000000" w:sz="8" w:space="0"/>
              <w:bottom w:val="single" w:color="000000" w:sz="8" w:space="0"/>
              <w:right w:val="single" w:color="000000" w:sz="8" w:space="0"/>
            </w:tcBorders>
            <w:shd w:val="clear"/>
            <w:vAlign w:val="center"/>
          </w:tcPr>
          <w:p w14:paraId="144C0C9B">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Requires separate audit logging</w:t>
            </w:r>
          </w:p>
        </w:tc>
      </w:tr>
      <w:tr w14:paraId="6B958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3" w:hRule="atLeast"/>
          <w:jc w:val="center"/>
        </w:trPr>
        <w:tc>
          <w:tcPr>
            <w:tcW w:w="3143" w:type="dxa"/>
            <w:tcBorders>
              <w:top w:val="single" w:color="000000" w:sz="8" w:space="0"/>
              <w:left w:val="single" w:color="000000" w:sz="8" w:space="0"/>
              <w:bottom w:val="single" w:color="000000" w:sz="8" w:space="0"/>
              <w:right w:val="single" w:color="000000" w:sz="8" w:space="0"/>
            </w:tcBorders>
            <w:shd w:val="clear"/>
            <w:vAlign w:val="center"/>
          </w:tcPr>
          <w:p w14:paraId="4E75763A">
            <w:pPr>
              <w:keepNext w:val="0"/>
              <w:keepLines w:val="0"/>
              <w:widowControl/>
              <w:suppressLineNumbers w:val="0"/>
              <w:jc w:val="center"/>
              <w:textAlignment w:val="center"/>
              <w:rPr>
                <w:rFonts w:hint="default" w:ascii="Calibri" w:hAnsi="Calibri" w:eastAsia="宋体"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bdr w:val="none" w:color="auto" w:sz="0" w:space="0"/>
                <w:lang w:val="en-US" w:eastAsia="zh-CN" w:bidi="ar"/>
              </w:rPr>
              <w:t>Maintainability</w:t>
            </w:r>
          </w:p>
        </w:tc>
        <w:tc>
          <w:tcPr>
            <w:tcW w:w="2626" w:type="dxa"/>
            <w:tcBorders>
              <w:top w:val="single" w:color="000000" w:sz="8" w:space="0"/>
              <w:left w:val="single" w:color="000000" w:sz="8" w:space="0"/>
              <w:bottom w:val="single" w:color="000000" w:sz="8" w:space="0"/>
              <w:right w:val="single" w:color="000000" w:sz="8" w:space="0"/>
            </w:tcBorders>
            <w:shd w:val="clear"/>
            <w:vAlign w:val="center"/>
          </w:tcPr>
          <w:p w14:paraId="7D86B62B">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Complex logic and event handling</w:t>
            </w:r>
          </w:p>
        </w:tc>
        <w:tc>
          <w:tcPr>
            <w:tcW w:w="2735" w:type="dxa"/>
            <w:tcBorders>
              <w:top w:val="single" w:color="000000" w:sz="8" w:space="0"/>
              <w:left w:val="single" w:color="000000" w:sz="8" w:space="0"/>
              <w:bottom w:val="single" w:color="000000" w:sz="8" w:space="0"/>
              <w:right w:val="single" w:color="000000" w:sz="8" w:space="0"/>
            </w:tcBorders>
            <w:shd w:val="clear"/>
            <w:vAlign w:val="center"/>
          </w:tcPr>
          <w:p w14:paraId="3BB7C002">
            <w:pPr>
              <w:keepNext w:val="0"/>
              <w:keepLines w:val="0"/>
              <w:widowControl/>
              <w:suppressLineNumbers w:val="0"/>
              <w:jc w:val="center"/>
              <w:textAlignment w:val="center"/>
              <w:rPr>
                <w:rFonts w:hint="default" w:ascii="Calibri" w:hAnsi="Calibri" w:eastAsia="宋体" w:cs="Calibri"/>
                <w:i w:val="0"/>
                <w:iCs w:val="0"/>
                <w:color w:val="000000"/>
                <w:sz w:val="24"/>
                <w:szCs w:val="24"/>
                <w:u w:val="none"/>
              </w:rPr>
            </w:pPr>
            <w:r>
              <w:rPr>
                <w:rFonts w:hint="default" w:ascii="Calibri" w:hAnsi="Calibri" w:eastAsia="宋体" w:cs="Calibri"/>
                <w:i w:val="0"/>
                <w:iCs w:val="0"/>
                <w:color w:val="000000"/>
                <w:kern w:val="0"/>
                <w:sz w:val="24"/>
                <w:szCs w:val="24"/>
                <w:u w:val="none"/>
                <w:bdr w:val="none" w:color="auto" w:sz="0" w:space="0"/>
                <w:lang w:val="en-US" w:eastAsia="zh-CN" w:bidi="ar"/>
              </w:rPr>
              <w:t>Simpler to build, test, and debug</w:t>
            </w:r>
          </w:p>
        </w:tc>
      </w:tr>
    </w:tbl>
    <w:p w14:paraId="79566F1B">
      <w:pPr>
        <w:numPr>
          <w:numId w:val="0"/>
        </w:numPr>
        <w:rPr>
          <w:rFonts w:hint="default" w:ascii="Calibri" w:hAnsi="Calibri" w:cs="Calibri"/>
        </w:rPr>
      </w:pPr>
    </w:p>
    <w:p w14:paraId="1A888A6F">
      <w:pPr>
        <w:pStyle w:val="4"/>
        <w:rPr>
          <w:rFonts w:hint="default" w:ascii="Calibri" w:hAnsi="Calibri" w:cs="Calibri"/>
          <w:color w:val="auto"/>
          <w:sz w:val="24"/>
          <w:szCs w:val="24"/>
        </w:rPr>
      </w:pPr>
      <w:r>
        <w:rPr>
          <w:rFonts w:hint="default" w:ascii="Calibri" w:hAnsi="Calibri" w:cs="Calibri"/>
          <w:color w:val="auto"/>
          <w:sz w:val="24"/>
          <w:szCs w:val="24"/>
        </w:rPr>
        <w:t>3. How Do Data Volume, Structure, and Access Patterns Affect Performance?</w:t>
      </w:r>
    </w:p>
    <w:p w14:paraId="08B9C277">
      <w:pPr>
        <w:numPr>
          <w:numId w:val="0"/>
        </w:numPr>
        <w:ind w:leftChars="0"/>
        <w:rPr>
          <w:rFonts w:hint="default" w:ascii="Calibri" w:hAnsi="Calibri" w:cs="Calibri"/>
          <w:color w:val="auto"/>
        </w:rPr>
      </w:pPr>
      <w:r>
        <w:rPr>
          <w:rFonts w:hint="default" w:ascii="Calibri" w:hAnsi="Calibri" w:cs="Calibri"/>
          <w:color w:val="auto"/>
        </w:rPr>
        <w:t>Large data volume: Event sourcing needs archiving and snapshotting. Traditional models may require pruning.</w:t>
      </w:r>
      <w:r>
        <w:rPr>
          <w:rFonts w:hint="default" w:ascii="Calibri" w:hAnsi="Calibri" w:cs="Calibri"/>
          <w:color w:val="auto"/>
        </w:rPr>
        <w:br w:type="textWrapping"/>
      </w:r>
      <w:r>
        <w:rPr>
          <w:rFonts w:hint="default" w:ascii="Calibri" w:hAnsi="Calibri" w:cs="Calibri"/>
          <w:color w:val="auto"/>
        </w:rPr>
        <w:t>Changing data structures: Event sourcing tolerates schema changes better. Traditional models may need migrations.</w:t>
      </w:r>
      <w:r>
        <w:rPr>
          <w:rFonts w:hint="default" w:ascii="Calibri" w:hAnsi="Calibri" w:cs="Calibri"/>
          <w:color w:val="auto"/>
        </w:rPr>
        <w:br w:type="textWrapping"/>
      </w:r>
      <w:r>
        <w:rPr>
          <w:rFonts w:hint="default" w:ascii="Calibri" w:hAnsi="Calibri" w:cs="Calibri"/>
          <w:color w:val="auto"/>
        </w:rPr>
        <w:t>Access patterns: Traditional methods are faster for reads. Event sourcing is better for audit trails and state reconstruction.</w:t>
      </w:r>
      <w:bookmarkStart w:id="0" w:name="_GoBack"/>
      <w:bookmarkEnd w:id="0"/>
    </w:p>
    <w:p w14:paraId="78FB2888">
      <w:pPr>
        <w:pStyle w:val="4"/>
        <w:rPr>
          <w:rFonts w:hint="default" w:ascii="Calibri" w:hAnsi="Calibri" w:cs="Calibri"/>
          <w:color w:val="auto"/>
          <w:sz w:val="24"/>
          <w:szCs w:val="24"/>
        </w:rPr>
      </w:pPr>
      <w:r>
        <w:rPr>
          <w:rFonts w:hint="default" w:ascii="Calibri" w:hAnsi="Calibri" w:cs="Calibri"/>
          <w:color w:val="auto"/>
          <w:sz w:val="24"/>
          <w:szCs w:val="24"/>
        </w:rPr>
        <w:t>4. What Roles Do Caching, Partitioning, and Replication Play?</w:t>
      </w:r>
    </w:p>
    <w:p w14:paraId="54245A5A">
      <w:pPr>
        <w:rPr>
          <w:rFonts w:hint="default" w:ascii="Calibri" w:hAnsi="Calibri" w:cs="Calibri"/>
          <w:color w:val="auto"/>
        </w:rPr>
      </w:pPr>
      <w:r>
        <w:rPr>
          <w:rFonts w:hint="default" w:ascii="Calibri" w:hAnsi="Calibri" w:cs="Calibri"/>
          <w:color w:val="auto"/>
        </w:rPr>
        <w:t>Caching: Event sourcing needs snapshot/state caching. Traditional systems use query result caching.</w:t>
      </w:r>
      <w:r>
        <w:rPr>
          <w:rFonts w:hint="default" w:ascii="Calibri" w:hAnsi="Calibri" w:cs="Calibri"/>
          <w:color w:val="auto"/>
        </w:rPr>
        <w:br w:type="textWrapping"/>
      </w:r>
      <w:r>
        <w:rPr>
          <w:rFonts w:hint="default" w:ascii="Calibri" w:hAnsi="Calibri" w:cs="Calibri"/>
          <w:color w:val="auto"/>
        </w:rPr>
        <w:t>Partitioning: MongoDB sharding works for both; event sourcing shards by entity/event type, traditional by access fields.</w:t>
      </w:r>
      <w:r>
        <w:rPr>
          <w:rFonts w:hint="default" w:ascii="Calibri" w:hAnsi="Calibri" w:cs="Calibri"/>
          <w:color w:val="auto"/>
        </w:rPr>
        <w:br w:type="textWrapping"/>
      </w:r>
      <w:r>
        <w:rPr>
          <w:rFonts w:hint="default" w:ascii="Calibri" w:hAnsi="Calibri" w:cs="Calibri"/>
          <w:color w:val="auto"/>
        </w:rPr>
        <w:t>Replication: Event logs can be replicated for durability. Traditional models use replica sets for availability.</w:t>
      </w:r>
    </w:p>
    <w:p w14:paraId="69F8DC96">
      <w:pPr>
        <w:pStyle w:val="4"/>
        <w:rPr>
          <w:rFonts w:hint="default" w:ascii="Calibri" w:hAnsi="Calibri" w:cs="Calibri"/>
          <w:color w:val="auto"/>
          <w:sz w:val="24"/>
          <w:szCs w:val="24"/>
        </w:rPr>
      </w:pPr>
      <w:r>
        <w:rPr>
          <w:rFonts w:hint="default" w:ascii="Calibri" w:hAnsi="Calibri" w:cs="Calibri"/>
          <w:color w:val="auto"/>
          <w:sz w:val="24"/>
          <w:szCs w:val="24"/>
        </w:rPr>
        <w:t>5. Which Approach Performs Better in Cloud-Native Environments?</w:t>
      </w:r>
    </w:p>
    <w:p w14:paraId="489BAE1B">
      <w:pPr>
        <w:rPr>
          <w:rFonts w:hint="default" w:ascii="Calibri" w:hAnsi="Calibri" w:cs="Calibri"/>
          <w:color w:val="auto"/>
        </w:rPr>
      </w:pPr>
      <w:r>
        <w:rPr>
          <w:rFonts w:hint="default" w:ascii="Calibri" w:hAnsi="Calibri" w:cs="Calibri"/>
          <w:color w:val="auto"/>
        </w:rPr>
        <w:t>Performance: Traditional is faster for reads; event sourcing better for writes.</w:t>
      </w:r>
      <w:r>
        <w:rPr>
          <w:rFonts w:hint="default" w:ascii="Calibri" w:hAnsi="Calibri" w:cs="Calibri"/>
          <w:color w:val="auto"/>
        </w:rPr>
        <w:br w:type="textWrapping"/>
      </w:r>
      <w:r>
        <w:rPr>
          <w:rFonts w:hint="default" w:ascii="Calibri" w:hAnsi="Calibri" w:cs="Calibri"/>
          <w:color w:val="auto"/>
        </w:rPr>
        <w:t>Scalability: Event sourcing suits distributed architectures.</w:t>
      </w:r>
      <w:r>
        <w:rPr>
          <w:rFonts w:hint="default" w:ascii="Calibri" w:hAnsi="Calibri" w:cs="Calibri"/>
          <w:color w:val="auto"/>
        </w:rPr>
        <w:br w:type="textWrapping"/>
      </w:r>
      <w:r>
        <w:rPr>
          <w:rFonts w:hint="default" w:ascii="Calibri" w:hAnsi="Calibri" w:cs="Calibri"/>
          <w:color w:val="auto"/>
        </w:rPr>
        <w:t>Reliability: Event logs offer full traceability.</w:t>
      </w:r>
      <w:r>
        <w:rPr>
          <w:rFonts w:hint="default" w:ascii="Calibri" w:hAnsi="Calibri" w:cs="Calibri"/>
          <w:color w:val="auto"/>
        </w:rPr>
        <w:br w:type="textWrapping"/>
      </w:r>
      <w:r>
        <w:rPr>
          <w:rFonts w:hint="default" w:ascii="Calibri" w:hAnsi="Calibri" w:cs="Calibri"/>
          <w:color w:val="auto"/>
        </w:rPr>
        <w:t>Maintainability: Traditional models are easier for smaller teams.</w:t>
      </w:r>
    </w:p>
    <w:p w14:paraId="57F3D1C5">
      <w:pPr>
        <w:pStyle w:val="4"/>
        <w:rPr>
          <w:rFonts w:hint="default" w:ascii="Calibri" w:hAnsi="Calibri" w:cs="Calibri"/>
          <w:color w:val="auto"/>
          <w:sz w:val="24"/>
          <w:szCs w:val="24"/>
        </w:rPr>
      </w:pPr>
      <w:r>
        <w:rPr>
          <w:rFonts w:hint="default" w:ascii="Calibri" w:hAnsi="Calibri" w:cs="Calibri"/>
          <w:color w:val="auto"/>
          <w:sz w:val="24"/>
          <w:szCs w:val="24"/>
        </w:rPr>
        <w:t>6. Which Approach Should You Use in a MongoDB-Based Cloud-Native App?</w:t>
      </w:r>
    </w:p>
    <w:p w14:paraId="65DD68E7">
      <w:pPr>
        <w:rPr>
          <w:rFonts w:hint="default" w:ascii="Calibri" w:hAnsi="Calibri" w:cs="Calibri"/>
          <w:color w:val="auto"/>
        </w:rPr>
      </w:pPr>
      <w:r>
        <w:rPr>
          <w:rFonts w:hint="default" w:ascii="Calibri" w:hAnsi="Calibri" w:cs="Calibri"/>
          <w:color w:val="auto"/>
        </w:rPr>
        <w:t>Use event sourcing for auditability, traceability, and complex workflows.</w:t>
      </w:r>
      <w:r>
        <w:rPr>
          <w:rFonts w:hint="default" w:ascii="Calibri" w:hAnsi="Calibri" w:cs="Calibri"/>
          <w:color w:val="auto"/>
        </w:rPr>
        <w:br w:type="textWrapping"/>
      </w:r>
      <w:r>
        <w:rPr>
          <w:rFonts w:hint="default" w:ascii="Calibri" w:hAnsi="Calibri" w:cs="Calibri"/>
          <w:color w:val="auto"/>
        </w:rPr>
        <w:t>Use traditional model for read-heavy, stable applications.</w:t>
      </w:r>
      <w:r>
        <w:rPr>
          <w:rFonts w:hint="default" w:ascii="Calibri" w:hAnsi="Calibri" w:cs="Calibri"/>
          <w:color w:val="auto"/>
        </w:rPr>
        <w:br w:type="textWrapping"/>
      </w:r>
      <w:r>
        <w:rPr>
          <w:rFonts w:hint="default" w:ascii="Calibri" w:hAnsi="Calibri" w:cs="Calibri"/>
          <w:color w:val="auto"/>
        </w:rPr>
        <w:t>Hybrid: Event log + current-state document store.</w:t>
      </w:r>
    </w:p>
    <w:p w14:paraId="5F735B16">
      <w:pPr>
        <w:pStyle w:val="4"/>
        <w:rPr>
          <w:rFonts w:hint="default" w:ascii="Calibri" w:hAnsi="Calibri" w:cs="Calibri"/>
          <w:color w:val="auto"/>
          <w:sz w:val="28"/>
          <w:szCs w:val="28"/>
        </w:rPr>
      </w:pPr>
      <w:r>
        <w:rPr>
          <w:rFonts w:hint="default" w:ascii="Calibri" w:hAnsi="Calibri" w:cs="Calibri"/>
          <w:color w:val="auto"/>
          <w:sz w:val="28"/>
          <w:szCs w:val="28"/>
        </w:rPr>
        <w:t>Conclusion</w:t>
      </w:r>
    </w:p>
    <w:p w14:paraId="6E8D5999">
      <w:pPr>
        <w:rPr>
          <w:rFonts w:hint="default" w:ascii="Calibri" w:hAnsi="Calibri" w:cs="Calibri"/>
          <w:color w:val="auto"/>
        </w:rPr>
      </w:pPr>
      <w:r>
        <w:rPr>
          <w:rFonts w:hint="default" w:ascii="Calibri" w:hAnsi="Calibri" w:cs="Calibri"/>
          <w:color w:val="auto"/>
        </w:rPr>
        <w:t>Event sourcing and traditional data models serve different needs. Event sourcing offers flexibility and traceability but is complex. Traditional methods are efficient and easy to maintain. Combining both approaches often provides optimal results in MongoDB-based cloud-native systems.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03CF871D"/>
    <w:multiLevelType w:val="singleLevel"/>
    <w:tmpl w:val="03CF871D"/>
    <w:lvl w:ilvl="0" w:tentative="0">
      <w:start w:val="2"/>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5732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466</Words>
  <Characters>3058</Characters>
  <Lines>0</Lines>
  <Paragraphs>0</Paragraphs>
  <TotalTime>7</TotalTime>
  <ScaleCrop>false</ScaleCrop>
  <LinksUpToDate>false</LinksUpToDate>
  <CharactersWithSpaces>3601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孤独的迪莫</cp:lastModifiedBy>
  <dcterms:modified xsi:type="dcterms:W3CDTF">2025-05-04T06:33:18Z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eyJoZGlkIjoiZjZkMTBjN2ZhN2VhMWI5OTM2Y2RhNzRiNWQzYmRhM2IiLCJ1c2VySWQiOiIzNDM0MTI5MjIifQ==</vt:lpwstr>
  </property>
  <property fmtid="{D5CDD505-2E9C-101B-9397-08002B2CF9AE}" pid="3" name="KSOProductBuildVer">
    <vt:lpwstr>2052-12.1.0.20784</vt:lpwstr>
  </property>
  <property fmtid="{D5CDD505-2E9C-101B-9397-08002B2CF9AE}" pid="4" name="ICV">
    <vt:lpwstr>D5828DD3F9BE4F60886B92722671DFC1_12</vt:lpwstr>
  </property>
</Properties>
</file>