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ind w:firstLine="0"/>
        <w:jc w:val="center"/>
      </w:pPr>
      <w:r>
        <w:rPr>
          <w:sz w:val="26"/>
          <w:szCs w:val="26"/>
        </w:rPr>
        <w:t xml:space="preserve">ĐẠI HỌC QUỐC GIA THÀNH PHỐ HỒ CHÍ MINH</w:t>
      </w:r>
    </w:p>
    <w:p>
      <w:pPr>
        <w:spacing w:after="60" w:line="300"/>
        <w:ind w:firstLine="0"/>
        <w:jc w:val="center"/>
      </w:pPr>
      <w:r>
        <w:rPr>
          <w:b/>
          <w:bCs/>
          <w:sz w:val="26"/>
          <w:szCs w:val="26"/>
        </w:rPr>
        <w:t xml:space="preserve">TRƯỜNG ĐẠI HỌC KHOA HỌC TỰ NHIÊN</w:t>
      </w:r>
    </w:p>
    <w:p>
      <w:pPr>
        <w:spacing w:after="60" w:line="300"/>
        <w:ind w:firstLine="0"/>
        <w:jc w:val="center"/>
      </w:pPr>
      <w:r>
        <w:rPr>
          <w:b/>
          <w:bCs/>
          <w:sz w:val="26"/>
          <w:szCs w:val="26"/>
        </w:rPr>
        <w:t xml:space="preserve">KHOA VẬT LÝ – VẬT LÝ KỸ THUẬT</w:t>
      </w:r>
    </w:p>
    <w:p>
      <w:pPr>
        <w:spacing w:after="60" w:line="300"/>
        <w:ind w:firstLine="0"/>
        <w:jc w:val="center"/>
      </w:pPr>
      <w:r>
        <w:rPr>
          <w:b/>
          <w:bCs/>
          <w:sz w:val="26"/>
          <w:szCs w:val="26"/>
        </w:rPr>
        <w:t xml:space="preserve">BỘ MÔN VẬT LÝ HẠT NHÂN</w:t>
      </w:r>
    </w:p>
    <w:p>
      <w:pPr>
        <w:spacing w:after="60" w:line="300"/>
        <w:ind w:firstLine="0"/>
        <w:jc w:val="center"/>
      </w:pPr>
      <w:r>
        <w:rPr>
          <w:sz w:val="24"/>
          <w:szCs w:val="24"/>
        </w:rPr>
        <w:t xml:space="preserve">———————o0o———————</w:t>
      </w:r>
    </w:p>
    <w:p>
      <w:pPr>
        <w:spacing w:after="600" w:before="600"/>
        <w:ind w:firstLine="0"/>
        <w:jc w:val="center"/>
      </w:pPr>
      <w:r>
        <w:rPr>
          <w:i/>
          <w:iCs/>
          <w:color w:val="7F7F7F"/>
          <w:sz w:val="22"/>
          <w:szCs w:val="22"/>
        </w:rPr>
        <w:t xml:space="preserve">[Chèn logo Trường ĐH KHTN – cao khoảng 3 cm]</w:t>
      </w:r>
    </w:p>
    <w:p>
      <w:pPr>
        <w:spacing w:after="60" w:line="300"/>
        <w:ind w:firstLine="0"/>
        <w:jc w:val="center"/>
      </w:pPr>
      <w:r>
        <w:rPr>
          <w:b/>
          <w:bCs/>
          <w:sz w:val="30"/>
          <w:szCs w:val="30"/>
        </w:rPr>
        <w:t xml:space="preserve">BÁO CÁO SEMINAR NHÓM</w:t>
      </w:r>
    </w:p>
    <w:p>
      <w:pPr>
        <w:spacing w:after="480"/>
        <w:ind w:firstLine="0"/>
        <w:jc w:val="center"/>
      </w:pPr>
      <w:r>
        <w:rPr>
          <w:b/>
          <w:bCs/>
          <w:sz w:val="26"/>
          <w:szCs w:val="26"/>
        </w:rPr>
        <w:t xml:space="preserve">HỌC PHẦN: CÁC PHƯƠNG PHÁP NDT</w:t>
      </w:r>
    </w:p>
    <w:p>
      <w:pPr>
        <w:spacing w:after="60" w:line="300"/>
        <w:ind w:firstLine="0"/>
        <w:jc w:val="center"/>
      </w:pPr>
      <w:r>
        <w:rPr>
          <w:b/>
          <w:bCs/>
          <w:sz w:val="26"/>
          <w:szCs w:val="26"/>
        </w:rPr>
        <w:t xml:space="preserve">ĐỀ TÀI</w:t>
      </w:r>
    </w:p>
    <w:p>
      <w:pPr>
        <w:spacing w:after="60" w:line="300"/>
        <w:ind w:firstLine="0"/>
        <w:jc w:val="center"/>
      </w:pPr>
      <w:r>
        <w:rPr>
          <w:b/>
          <w:bCs/>
          <w:sz w:val="34"/>
          <w:szCs w:val="34"/>
        </w:rPr>
        <w:t xml:space="preserve">ỨNG DỤNG GPR TRONG KHẢO SÁT</w:t>
      </w:r>
    </w:p>
    <w:p>
      <w:pPr>
        <w:spacing w:after="720"/>
        <w:ind w:firstLine="0"/>
        <w:jc w:val="center"/>
      </w:pPr>
      <w:r>
        <w:rPr>
          <w:b/>
          <w:bCs/>
          <w:sz w:val="34"/>
          <w:szCs w:val="34"/>
        </w:rPr>
        <w:t xml:space="preserve">HỆ THỐNG CÁP VÀ CÔNG TRÌNH NGẦM</w:t>
      </w:r>
    </w:p>
    <w:p>
      <w:pPr>
        <w:tabs>
          <w:tab w:val="left" w:pos="2381"/>
        </w:tabs>
        <w:spacing w:after="0" w:line="360"/>
        <w:ind w:left="2552" w:firstLine="0"/>
      </w:pPr>
      <w:r>
        <w:rPr>
          <w:b/>
          <w:bCs/>
        </w:rPr>
        <w:t xml:space="preserve">Nhóm thực hiện:	</w:t>
      </w:r>
      <w:r>
        <w:t xml:space="preserve">[Tên nhóm / Nhóm số …]</w:t>
      </w:r>
    </w:p>
    <w:p>
      <w:pPr>
        <w:tabs>
          <w:tab w:val="left" w:pos="2381"/>
        </w:tabs>
        <w:spacing w:after="0" w:line="360"/>
        <w:ind w:left="2552" w:firstLine="0"/>
      </w:pPr>
      <w:r>
        <w:rPr>
          <w:b/>
          <w:bCs/>
        </w:rPr>
        <w:t xml:space="preserve">Người hướng dẫn:	</w:t>
      </w:r>
      <w:r>
        <w:t xml:space="preserve">[Học hàm, học vị Họ và tên]</w:t>
      </w:r>
    </w:p>
    <w:p>
      <w:pPr>
        <w:tabs>
          <w:tab w:val="left" w:pos="2381"/>
        </w:tabs>
        <w:spacing w:after="0" w:line="360"/>
        <w:ind w:left="2552" w:firstLine="0"/>
      </w:pPr>
      <w:r>
        <w:rPr>
          <w:b/>
          <w:bCs/>
        </w:rPr>
        <w:t xml:space="preserve">Lớp / Học kỳ:	</w:t>
      </w:r>
      <w:r>
        <w:t xml:space="preserve">[Lớp …] – HK […], năm học 2026–2027</w:t>
      </w:r>
    </w:p>
    <w:p>
      <w:pPr>
        <w:spacing w:before="1300"/>
        <w:ind w:firstLine="0"/>
        <w:jc w:val="center"/>
        <w:sectPr>
          <w:pgSz w:w="11906" w:h="16838" w:orient="portrait"/>
          <w:pgMar w:top="1985" w:right="1134" w:bottom="1701" w:left="1985" w:header="851" w:footer="851" w:gutter="0"/>
          <w:pgBorders w:display="allPages" w:offsetFrom="text">
            <w:top w:val="thickThinMediumGap" w:color="000000" w:sz="24" w:space="20"/>
            <w:left w:val="thickThinMediumGap" w:color="000000" w:sz="24" w:space="20"/>
            <w:bottom w:val="thickThinMediumGap" w:color="000000" w:sz="24" w:space="20"/>
            <w:right w:val="thickThinMediumGap" w:color="000000" w:sz="24" w:space="20"/>
          </w:pgBorders>
          <w:pgNumType/>
          <w:docGrid w:linePitch="360"/>
        </w:sectPr>
      </w:pPr>
      <w:r>
        <w:rPr>
          <w:b/>
          <w:bCs/>
          <w:sz w:val="26"/>
          <w:szCs w:val="26"/>
        </w:rPr>
        <w:t xml:space="preserve">TP. Hồ Chí Minh, tháng … năm 2026</w:t>
      </w:r>
    </w:p>
    <w:p>
      <w:pPr>
        <w:pStyle w:val="TieuDeKhongMuc"/>
      </w:pPr>
      <w:r>
        <w:t xml:space="preserve">GIỚI THIỆU NHÓM</w:t>
      </w:r>
    </w:p>
    <w:p>
      <w:pPr>
        <w:pStyle w:val="HuongDan"/>
      </w:pPr>
      <w:r>
        <w:rPr>
          <w:b/>
          <w:bCs/>
        </w:rPr>
        <w:t xml:space="preserve">► Hướng dẫn: </w:t>
      </w:r>
      <w:r>
        <w:t xml:space="preserve">Toàn bộ chữ </w:t>
      </w:r>
      <w:r>
        <w:rPr>
          <w:b/>
          <w:bCs/>
        </w:rPr>
        <w:t xml:space="preserve">màu xám</w:t>
      </w:r>
      <w:r>
        <w:t xml:space="preserve"> trong tệp này là hướng dẫn – </w:t>
      </w:r>
      <w:r>
        <w:rPr>
          <w:b/>
          <w:bCs/>
        </w:rPr>
        <w:t xml:space="preserve">xóa hết trước khi in</w:t>
      </w:r>
      <w:r>
        <w:t xml:space="preserve">. Báo cáo tối đa </w:t>
      </w:r>
      <w:r>
        <w:rPr>
          <w:b/>
          <w:bCs/>
        </w:rPr>
        <w:t xml:space="preserve">30 trang</w:t>
      </w:r>
      <w:r>
        <w:t xml:space="preserve"> (hỏi lại giảng viên có tính bìa và phụ lục không). Định dạng đã cài sẵn theo Quy định hình thức luận văn của Trường ĐH KHTN: A4, Times New Roman 13, giãn dòng 1,5; lề trên 3,5 cm, dưới 3 cm, trái 3,5 cm, phải 2 cm; số trang ở giữa cuối trang. Mục lục, danh mục bảng và danh mục hình là trường tự động: sau khi sửa xong, nhấn </w:t>
      </w:r>
      <w:r>
        <w:rPr>
          <w:b/>
          <w:bCs/>
        </w:rPr>
        <w:t xml:space="preserve">Ctrl+A rồi F9</w:t>
      </w:r>
      <w:r>
        <w:t xml:space="preserve"> (máy Mac: Cmd+A rồi Fn+F9) để cập nhật.</w:t>
      </w:r>
    </w:p>
    <w:p>
      <w:r>
        <w:t xml:space="preserve">Nhóm […] gồm […] sinh viên ngành […], khóa […], Khoa Vật lý – Vật lý Kỹ thuật, Trường Đại học Khoa học Tự nhiên, ĐHQG-HCM. Thông tin thành viên và phân công nhiệm vụ được trình bày trong bảng dưới đây.</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70"/>
        <w:gridCol w:w="2233"/>
        <w:gridCol w:w="1191"/>
        <w:gridCol w:w="3574"/>
        <w:gridCol w:w="1119"/>
      </w:tblGrid>
      <w:tr>
        <w:trPr>
          <w:tblHeader/>
        </w:trPr>
        <w:tc>
          <w:tcPr>
            <w:tcW w:type="dxa" w:w="67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STT</w:t>
            </w:r>
          </w:p>
        </w:tc>
        <w:tc>
          <w:tcPr>
            <w:tcW w:type="dxa" w:w="223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Họ và tên</w:t>
            </w:r>
          </w:p>
        </w:tc>
        <w:tc>
          <w:tcPr>
            <w:tcW w:type="dxa" w:w="119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MSSV</w:t>
            </w:r>
          </w:p>
        </w:tc>
        <w:tc>
          <w:tcPr>
            <w:tcW w:type="dxa" w:w="357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Nhiệm vụ chính</w:t>
            </w:r>
          </w:p>
        </w:tc>
        <w:tc>
          <w:tcPr>
            <w:tcW w:type="dxa" w:w="1119"/>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Đóng góp (%)</w:t>
            </w: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[Nhóm trưởng]</w:t>
            </w: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Điều phối; viết Mở đầu, Kết luận; tổng hợp báo cáo</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Chương 1 – Tổng quan, tài liệu tham khảo</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3</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Chương 2 – Cơ sở lý thuyết và phương pháp GPR</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Mô phỏng gprMax, hình minh họa</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Liên hệ thiết bị, chuẩn bị đo GPR; slide tiếng Anh</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bl>
    <w:p>
      <w:pPr>
        <w:spacing w:after="120" w:before="0" w:line="240"/>
        <w:ind w:firstLine="0"/>
      </w:pPr>
    </w:p>
    <w:p>
      <w:pPr>
        <w:pStyle w:val="TieuDeKhongMuc"/>
        <w:pageBreakBefore/>
      </w:pPr>
      <w:r>
        <w:t xml:space="preserve">LỜI CẢM ƠN</w:t>
      </w:r>
    </w:p>
    <w:p>
      <w:pPr>
        <w:pStyle w:val="HuongDan"/>
      </w:pPr>
      <w:r>
        <w:rPr>
          <w:b/>
          <w:bCs/>
        </w:rPr>
        <w:t xml:space="preserve">► Hướng dẫn: </w:t>
      </w:r>
      <w:r>
        <w:t xml:space="preserve">Viết ngắn (nửa trang), chân thành, không sáo rỗng. Cảm ơn người hướng dẫn, Bộ môn Vật lý Hạt nhân, cán bộ PTN đã hỗ trợ thiết bị, đơn vị cho phép đo hiện trường (nếu có).</w:t>
      </w:r>
    </w:p>
    <w:p>
      <w:r>
        <w:t xml:space="preserve">Nhóm xin chân thành cảm ơn [học hàm, học vị, họ tên người hướng dẫn] đã tận tình hướng dẫn và góp ý trong suốt quá trình thực hiện đề tài. Nhóm cũng xin cảm ơn quý Thầy Cô Bộ môn Vật lý Hạt nhân, Khoa Vật lý – Vật lý Kỹ thuật, Trường Đại học Khoa học Tự nhiên, ĐHQG-HCM đã tạo điều kiện về thiết bị và cơ sở vật chất để nhóm tiến hành khảo sát thực nghiệm.</w:t>
      </w:r>
    </w:p>
    <w:p>
      <w:r>
        <w:t xml:space="preserve">Mặc dù đã cố gắng, báo cáo khó tránh khỏi thiếu sót. Nhóm rất mong nhận được ý kiến đóng góp của quý Thầy Cô và các bạn.</w:t>
      </w:r>
    </w:p>
    <w:p>
      <w:pPr>
        <w:spacing w:before="240"/>
        <w:ind w:firstLine="0"/>
        <w:jc w:val="right"/>
      </w:pPr>
      <w:r>
        <w:rPr>
          <w:i/>
          <w:iCs/>
        </w:rPr>
        <w:t xml:space="preserve">TP. Hồ Chí Minh, ngày … tháng … năm 2026</w:t>
      </w:r>
    </w:p>
    <w:p>
      <w:pPr>
        <w:ind w:firstLine="0"/>
        <w:jc w:val="right"/>
      </w:pPr>
      <w:r>
        <w:rPr>
          <w:b/>
          <w:bCs/>
        </w:rPr>
        <w:t xml:space="preserve">Nhóm thực hiện</w:t>
      </w:r>
    </w:p>
    <w:p>
      <w:pPr>
        <w:pStyle w:val="TieuDeKhongMuc"/>
        <w:pageBreakBefore/>
      </w:pPr>
      <w:r>
        <w:t xml:space="preserve">MỤC LỤC</w:t>
      </w:r>
    </w:p>
    <w:sdt>
      <w:sdtPr>
        <w:alias w:val="Mục lục"/>
      </w:sdtPr>
      <w:sdtContent>
        <w:p>
          <w:pPr>
            <w:pStyle w:val="TOC1"/>
            <w:tabs>
              <w:tab w:val="right" w:pos="8787" w:leader="dot"/>
            </w:tabs>
          </w:pPr>
          <w:r>
            <w:fldChar w:fldCharType="begin" w:dirty="true"/>
            <w:instrText xml:space="preserve">TOC \h \o "1-3"</w:instrText>
            <w:fldChar w:fldCharType="separate"/>
          </w:r>
          <w:hyperlink w:history="1" w:anchor="_Toc1">
            <w:r>
              <w:t xml:space="preserve">MỞ ĐẦU</w:t>
            </w:r>
            <w:r>
              <w:tab/>
            </w:r>
            <w:r>
              <w:fldChar w:fldCharType="begin" w:dirty="true"/>
              <w:instrText xml:space="preserve">PAGEREF _Toc1 \h</w:instrText>
              <w:fldChar w:fldCharType="separate"/>
              <w:fldChar w:fldCharType="end"/>
            </w:r>
          </w:hyperlink>
        </w:p>
        <w:p>
          <w:pPr>
            <w:pStyle w:val="TOC1"/>
            <w:tabs>
              <w:tab w:val="right" w:pos="8787" w:leader="dot"/>
            </w:tabs>
          </w:pPr>
          <w:hyperlink w:history="1" w:anchor="_Toc2">
            <w:r>
              <w:t xml:space="preserve">CHƯƠNG 1. TỔNG QUAN</w:t>
            </w:r>
            <w:r>
              <w:tab/>
            </w:r>
            <w:r>
              <w:fldChar w:fldCharType="begin" w:dirty="true"/>
              <w:instrText xml:space="preserve">PAGEREF _Toc2 \h</w:instrText>
              <w:fldChar w:fldCharType="separate"/>
              <w:fldChar w:fldCharType="end"/>
            </w:r>
          </w:hyperlink>
        </w:p>
        <w:p>
          <w:pPr>
            <w:pStyle w:val="TOC2"/>
            <w:tabs>
              <w:tab w:val="right" w:pos="8787" w:leader="dot"/>
            </w:tabs>
            <w:ind w:left="220"/>
          </w:pPr>
          <w:hyperlink w:history="1" w:anchor="_Toc3">
            <w:r>
              <w:t xml:space="preserve">1.1. Tình hình nghiên cứu trong và ngoài nước</w:t>
            </w:r>
            <w:r>
              <w:tab/>
            </w:r>
            <w:r>
              <w:fldChar w:fldCharType="begin" w:dirty="true"/>
              <w:instrText xml:space="preserve">PAGEREF _Toc3 \h</w:instrText>
              <w:fldChar w:fldCharType="separate"/>
              <w:fldChar w:fldCharType="end"/>
            </w:r>
          </w:hyperlink>
        </w:p>
        <w:p>
          <w:pPr>
            <w:pStyle w:val="TOC3"/>
            <w:tabs>
              <w:tab w:val="right" w:pos="8787" w:leader="dot"/>
            </w:tabs>
            <w:ind w:left="440"/>
          </w:pPr>
          <w:hyperlink w:history="1" w:anchor="_Toc4">
            <w:r>
              <w:t xml:space="preserve">1.1.1. Tình hình nghiên cứu ngoài nước</w:t>
            </w:r>
            <w:r>
              <w:tab/>
            </w:r>
            <w:r>
              <w:fldChar w:fldCharType="begin" w:dirty="true"/>
              <w:instrText xml:space="preserve">PAGEREF _Toc4 \h</w:instrText>
              <w:fldChar w:fldCharType="separate"/>
              <w:fldChar w:fldCharType="end"/>
            </w:r>
          </w:hyperlink>
        </w:p>
        <w:p>
          <w:pPr>
            <w:pStyle w:val="TOC3"/>
            <w:tabs>
              <w:tab w:val="right" w:pos="8787" w:leader="dot"/>
            </w:tabs>
            <w:ind w:left="440"/>
          </w:pPr>
          <w:hyperlink w:history="1" w:anchor="_Toc5">
            <w:r>
              <w:t xml:space="preserve">1.1.2. Tình hình nghiên cứu trong nước</w:t>
            </w:r>
            <w:r>
              <w:tab/>
            </w:r>
            <w:r>
              <w:fldChar w:fldCharType="begin" w:dirty="true"/>
              <w:instrText xml:space="preserve">PAGEREF _Toc5 \h</w:instrText>
              <w:fldChar w:fldCharType="separate"/>
              <w:fldChar w:fldCharType="end"/>
            </w:r>
          </w:hyperlink>
        </w:p>
        <w:p>
          <w:pPr>
            <w:pStyle w:val="TOC2"/>
            <w:tabs>
              <w:tab w:val="right" w:pos="8787" w:leader="dot"/>
            </w:tabs>
            <w:ind w:left="220"/>
          </w:pPr>
          <w:hyperlink w:history="1" w:anchor="_Toc6">
            <w:r>
              <w:t xml:space="preserve">1.2. Giới thiệu vấn đề</w:t>
            </w:r>
            <w:r>
              <w:tab/>
            </w:r>
            <w:r>
              <w:fldChar w:fldCharType="begin" w:dirty="true"/>
              <w:instrText xml:space="preserve">PAGEREF _Toc6 \h</w:instrText>
              <w:fldChar w:fldCharType="separate"/>
              <w:fldChar w:fldCharType="end"/>
            </w:r>
          </w:hyperlink>
        </w:p>
        <w:p>
          <w:pPr>
            <w:pStyle w:val="TOC2"/>
            <w:tabs>
              <w:tab w:val="right" w:pos="8787" w:leader="dot"/>
            </w:tabs>
            <w:ind w:left="220"/>
          </w:pPr>
          <w:hyperlink w:history="1" w:anchor="_Toc8">
            <w:r>
              <w:t xml:space="preserve">1.3. Phương pháp</w:t>
            </w:r>
            <w:r>
              <w:tab/>
            </w:r>
            <w:r>
              <w:fldChar w:fldCharType="begin" w:dirty="true"/>
              <w:instrText xml:space="preserve">PAGEREF _Toc8 \h</w:instrText>
              <w:fldChar w:fldCharType="separate"/>
              <w:fldChar w:fldCharType="end"/>
            </w:r>
          </w:hyperlink>
        </w:p>
        <w:p>
          <w:pPr>
            <w:pStyle w:val="TOC2"/>
            <w:tabs>
              <w:tab w:val="right" w:pos="8787" w:leader="dot"/>
            </w:tabs>
            <w:ind w:left="220"/>
          </w:pPr>
          <w:hyperlink w:history="1" w:anchor="_Toc10">
            <w:r>
              <w:t xml:space="preserve">1.4. Phạm vi ứng dụng</w:t>
            </w:r>
            <w:r>
              <w:tab/>
            </w:r>
            <w:r>
              <w:fldChar w:fldCharType="begin" w:dirty="true"/>
              <w:instrText xml:space="preserve">PAGEREF _Toc10 \h</w:instrText>
              <w:fldChar w:fldCharType="separate"/>
              <w:fldChar w:fldCharType="end"/>
            </w:r>
          </w:hyperlink>
        </w:p>
        <w:p>
          <w:pPr>
            <w:pStyle w:val="TOC1"/>
            <w:tabs>
              <w:tab w:val="right" w:pos="8787" w:leader="dot"/>
            </w:tabs>
          </w:pPr>
          <w:hyperlink w:history="1" w:anchor="_Toc11">
            <w:r>
              <w:t xml:space="preserve">CHƯƠNG 2. PHƯƠNG PHÁP</w:t>
            </w:r>
            <w:r>
              <w:tab/>
            </w:r>
            <w:r>
              <w:fldChar w:fldCharType="begin" w:dirty="true"/>
              <w:instrText xml:space="preserve">PAGEREF _Toc11 \h</w:instrText>
              <w:fldChar w:fldCharType="separate"/>
              <w:fldChar w:fldCharType="end"/>
            </w:r>
          </w:hyperlink>
        </w:p>
        <w:p>
          <w:pPr>
            <w:pStyle w:val="TOC2"/>
            <w:tabs>
              <w:tab w:val="right" w:pos="8787" w:leader="dot"/>
            </w:tabs>
            <w:ind w:left="220"/>
          </w:pPr>
          <w:hyperlink w:history="1" w:anchor="_Toc12">
            <w:r>
              <w:t xml:space="preserve">2.1. Cơ sở lý thuyết</w:t>
            </w:r>
            <w:r>
              <w:tab/>
            </w:r>
            <w:r>
              <w:fldChar w:fldCharType="begin" w:dirty="true"/>
              <w:instrText xml:space="preserve">PAGEREF _Toc12 \h</w:instrText>
              <w:fldChar w:fldCharType="separate"/>
              <w:fldChar w:fldCharType="end"/>
            </w:r>
          </w:hyperlink>
        </w:p>
        <w:p>
          <w:pPr>
            <w:pStyle w:val="TOC3"/>
            <w:tabs>
              <w:tab w:val="right" w:pos="8787" w:leader="dot"/>
            </w:tabs>
            <w:ind w:left="440"/>
          </w:pPr>
          <w:hyperlink w:history="1" w:anchor="_Toc13">
            <w:r>
              <w:t xml:space="preserve">2.1.1. Truyền sóng điện từ trong môi trường đất</w:t>
            </w:r>
            <w:r>
              <w:tab/>
            </w:r>
            <w:r>
              <w:fldChar w:fldCharType="begin" w:dirty="true"/>
              <w:instrText xml:space="preserve">PAGEREF _Toc13 \h</w:instrText>
              <w:fldChar w:fldCharType="separate"/>
              <w:fldChar w:fldCharType="end"/>
            </w:r>
          </w:hyperlink>
        </w:p>
        <w:p>
          <w:pPr>
            <w:pStyle w:val="TOC3"/>
            <w:tabs>
              <w:tab w:val="right" w:pos="8787" w:leader="dot"/>
            </w:tabs>
            <w:ind w:left="440"/>
          </w:pPr>
          <w:hyperlink w:history="1" w:anchor="_Toc15">
            <w:r>
              <w:t xml:space="preserve">2.1.2. Độ phân giải và độ sâu xuyên</w:t>
            </w:r>
            <w:r>
              <w:tab/>
            </w:r>
            <w:r>
              <w:fldChar w:fldCharType="begin" w:dirty="true"/>
              <w:instrText xml:space="preserve">PAGEREF _Toc15 \h</w:instrText>
              <w:fldChar w:fldCharType="separate"/>
              <w:fldChar w:fldCharType="end"/>
            </w:r>
          </w:hyperlink>
        </w:p>
        <w:p>
          <w:pPr>
            <w:pStyle w:val="TOC2"/>
            <w:tabs>
              <w:tab w:val="right" w:pos="8787" w:leader="dot"/>
            </w:tabs>
            <w:ind w:left="220"/>
          </w:pPr>
          <w:hyperlink w:history="1" w:anchor="_Toc17">
            <w:r>
              <w:t xml:space="preserve">2.2. Khái niệm, phương pháp</w:t>
            </w:r>
            <w:r>
              <w:tab/>
            </w:r>
            <w:r>
              <w:fldChar w:fldCharType="begin" w:dirty="true"/>
              <w:instrText xml:space="preserve">PAGEREF _Toc17 \h</w:instrText>
              <w:fldChar w:fldCharType="separate"/>
              <w:fldChar w:fldCharType="end"/>
            </w:r>
          </w:hyperlink>
        </w:p>
        <w:p>
          <w:pPr>
            <w:pStyle w:val="TOC3"/>
            <w:tabs>
              <w:tab w:val="right" w:pos="8787" w:leader="dot"/>
            </w:tabs>
            <w:ind w:left="440"/>
          </w:pPr>
          <w:hyperlink w:history="1" w:anchor="_Toc18">
            <w:r>
              <w:t xml:space="preserve">2.2.1. Nguyên lý và hệ thiết bị GPR</w:t>
            </w:r>
            <w:r>
              <w:tab/>
            </w:r>
            <w:r>
              <w:fldChar w:fldCharType="begin" w:dirty="true"/>
              <w:instrText xml:space="preserve">PAGEREF _Toc18 \h</w:instrText>
              <w:fldChar w:fldCharType="separate"/>
              <w:fldChar w:fldCharType="end"/>
            </w:r>
          </w:hyperlink>
        </w:p>
        <w:p>
          <w:pPr>
            <w:pStyle w:val="TOC3"/>
            <w:tabs>
              <w:tab w:val="right" w:pos="8787" w:leader="dot"/>
            </w:tabs>
            <w:ind w:left="440"/>
          </w:pPr>
          <w:hyperlink w:history="1" w:anchor="_Toc20">
            <w:r>
              <w:t xml:space="preserve">2.2.2. Hyperbol phản xạ và xác định vận tốc sóng</w:t>
            </w:r>
            <w:r>
              <w:tab/>
            </w:r>
            <w:r>
              <w:fldChar w:fldCharType="begin" w:dirty="true"/>
              <w:instrText xml:space="preserve">PAGEREF _Toc20 \h</w:instrText>
              <w:fldChar w:fldCharType="separate"/>
              <w:fldChar w:fldCharType="end"/>
            </w:r>
          </w:hyperlink>
        </w:p>
        <w:p>
          <w:pPr>
            <w:pStyle w:val="TOC1"/>
            <w:tabs>
              <w:tab w:val="right" w:pos="8787" w:leader="dot"/>
            </w:tabs>
          </w:pPr>
          <w:hyperlink w:history="1" w:anchor="_Toc22">
            <w:r>
              <w:t xml:space="preserve">TÀI LIỆU THAM KHẢO</w:t>
            </w:r>
            <w:r>
              <w:tab/>
            </w:r>
            <w:r>
              <w:fldChar w:fldCharType="begin" w:dirty="true"/>
              <w:instrText xml:space="preserve">PAGEREF _Toc22 \h</w:instrText>
              <w:fldChar w:fldCharType="separate"/>
              <w:fldChar w:fldCharType="end"/>
            </w:r>
          </w:hyperlink>
        </w:p>
        <w:p>
          <w:r>
            <w:fldChar w:fldCharType="end"/>
          </w:r>
        </w:p>
      </w:sdtContent>
    </w:sdt>
    <w:p>
      <w:pPr>
        <w:pStyle w:val="TieuDeKhongMuc"/>
        <w:pageBreakBefore/>
      </w:pPr>
      <w:r>
        <w:t xml:space="preserve">DANH MỤC CHỮ VIẾT TẮT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255"/>
        <w:gridCol w:w="3765"/>
        <w:gridCol w:w="3767"/>
      </w:tblGrid>
      <w:tr>
        <w:trPr>
          <w:tblHeader/>
        </w:trPr>
        <w:tc>
          <w:tcPr>
            <w:tcW w:type="dxa" w:w="12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Viết tắt</w:t>
            </w:r>
          </w:p>
        </w:tc>
        <w:tc>
          <w:tcPr>
            <w:tcW w:type="dxa" w:w="376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Tiếng Anh</w:t>
            </w:r>
          </w:p>
        </w:tc>
        <w:tc>
          <w:tcPr>
            <w:tcW w:type="dxa" w:w="3767"/>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Tiếng Việt</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EM</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Electromagnetic</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Điện từ</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FDTD</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Finite-Difference Time-Domain</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Sai phân hữu hạn miền thời gian</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GNSS</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Global Navigation Satellite System</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Hệ thống định vị toàn cầu</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GPR</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Ground Penetrating Radar</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Ra đa xuyên đất</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NDT</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Non-Destructive Testing</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Kiểm tra không phá hủy</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Tx / Rx</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Transmitter / Receiver</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Anten phát / Anten thu</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TWT</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Two-Way Travel time</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Thời gian truyền hai chiều</w:t>
            </w:r>
          </w:p>
        </w:tc>
      </w:tr>
    </w:tbl>
    <w:p>
      <w:pPr>
        <w:spacing w:after="120" w:before="0" w:line="240"/>
        <w:ind w:firstLine="0"/>
      </w:pPr>
    </w:p>
    <w:p>
      <w:pPr>
        <w:pStyle w:val="HuongDan"/>
      </w:pPr>
      <w:r>
        <w:rPr>
          <w:b/>
          <w:bCs/>
        </w:rPr>
        <w:t xml:space="preserve">► Hướng dẫn: </w:t>
      </w:r>
      <w:r>
        <w:t xml:space="preserve">Xếp theo thứ tự ABC; chỉ giữ chữ viết tắt thực sự dùng trong báo cáo.</w:t>
      </w:r>
    </w:p>
    <w:p>
      <w:pPr>
        <w:pStyle w:val="TieuDeKhongMuc"/>
        <w:pageBreakBefore/>
      </w:pPr>
      <w:r>
        <w:t xml:space="preserve">DANH MỤC BẢNG</w:t>
      </w:r>
    </w:p>
    <w:sdt>
      <w:sdtPr>
        <w:alias w:val="Danh mục bảng"/>
      </w:sdtPr>
      <w:sdtContent>
        <w:p>
          <w:pPr>
            <w:pStyle w:val="TOC1"/>
            <w:tabs>
              <w:tab w:val="right" w:pos="8787" w:leader="dot"/>
            </w:tabs>
          </w:pPr>
          <w:r>
            <w:fldChar w:fldCharType="begin" w:dirty="true"/>
            <w:instrText xml:space="preserve">TOC \h \t "CaptionBang,1"</w:instrText>
            <w:fldChar w:fldCharType="separate"/>
          </w:r>
          <w:hyperlink w:history="1" w:anchor="_Toc9">
            <w:r>
              <w:t xml:space="preserve">Bảng 1.1. Các dạng hệ GPR dùng trong khảo sát công trình ngầm</w:t>
            </w:r>
            <w:r>
              <w:tab/>
            </w:r>
            <w:r>
              <w:fldChar w:fldCharType="begin" w:dirty="true"/>
              <w:instrText xml:space="preserve">PAGEREF _Toc9 \h</w:instrText>
              <w:fldChar w:fldCharType="separate"/>
              <w:fldChar w:fldCharType="end"/>
            </w:r>
          </w:hyperlink>
        </w:p>
        <w:p>
          <w:pPr>
            <w:pStyle w:val="TOC1"/>
            <w:tabs>
              <w:tab w:val="right" w:pos="8787" w:leader="dot"/>
            </w:tabs>
          </w:pPr>
          <w:hyperlink w:history="1" w:anchor="_Toc14">
            <w:r>
              <w:t xml:space="preserve">Bảng 2.1. Hằng số điện môi, độ dẫn điện và vận tốc sóng của một số vật liệu</w:t>
            </w:r>
            <w:r>
              <w:tab/>
            </w:r>
            <w:r>
              <w:fldChar w:fldCharType="begin" w:dirty="true"/>
              <w:instrText xml:space="preserve">PAGEREF _Toc14 \h</w:instrText>
              <w:fldChar w:fldCharType="separate"/>
              <w:fldChar w:fldCharType="end"/>
            </w:r>
          </w:hyperlink>
        </w:p>
        <w:p>
          <w:pPr>
            <w:pStyle w:val="TOC1"/>
            <w:tabs>
              <w:tab w:val="right" w:pos="8787" w:leader="dot"/>
            </w:tabs>
          </w:pPr>
          <w:hyperlink w:history="1" w:anchor="_Toc16">
            <w:r>
              <w:t xml:space="preserve">Bảng 2.2. Gợi ý lựa chọn tần số anten GPR</w:t>
            </w:r>
            <w:r>
              <w:tab/>
            </w:r>
            <w:r>
              <w:fldChar w:fldCharType="begin" w:dirty="true"/>
              <w:instrText xml:space="preserve">PAGEREF _Toc16 \h</w:instrText>
              <w:fldChar w:fldCharType="separate"/>
              <w:fldChar w:fldCharType="end"/>
            </w:r>
          </w:hyperlink>
        </w:p>
        <w:p>
          <w:r>
            <w:fldChar w:fldCharType="end"/>
          </w:r>
        </w:p>
      </w:sdtContent>
    </w:sdt>
    <w:p>
      <w:pPr>
        <w:pStyle w:val="TieuDeKhongMuc"/>
        <w:pageBreakBefore/>
      </w:pPr>
      <w:r>
        <w:t xml:space="preserve">DANH MỤC HÌNH</w:t>
      </w:r>
    </w:p>
    <w:sdt>
      <w:sdtPr>
        <w:alias w:val="Danh mục hình"/>
      </w:sdtPr>
      <w:sdtContent>
        <w:p>
          <w:pPr>
            <w:pStyle w:val="TOC1"/>
            <w:tabs>
              <w:tab w:val="right" w:pos="8787" w:leader="dot"/>
            </w:tabs>
          </w:pPr>
          <w:r>
            <w:fldChar w:fldCharType="begin" w:dirty="true"/>
            <w:instrText xml:space="preserve">TOC \h \t "CaptionHinh,1"</w:instrText>
            <w:fldChar w:fldCharType="separate"/>
          </w:r>
          <w:hyperlink w:history="1" w:anchor="_Toc7">
            <w:r>
              <w:t xml:space="preserve">Hình 1.1. Sơ đồ bố trí công trình ngầm điển hình dưới lòng đường đô thị</w:t>
            </w:r>
            <w:r>
              <w:tab/>
            </w:r>
            <w:r>
              <w:fldChar w:fldCharType="begin" w:dirty="true"/>
              <w:instrText xml:space="preserve">PAGEREF _Toc7 \h</w:instrText>
              <w:fldChar w:fldCharType="separate"/>
              <w:fldChar w:fldCharType="end"/>
            </w:r>
          </w:hyperlink>
        </w:p>
        <w:p>
          <w:pPr>
            <w:pStyle w:val="TOC1"/>
            <w:tabs>
              <w:tab w:val="right" w:pos="8787" w:leader="dot"/>
            </w:tabs>
          </w:pPr>
          <w:hyperlink w:history="1" w:anchor="_Toc19">
            <w:r>
              <w:t xml:space="preserve">Hình 2.1. Sơ đồ nguyên lý của phương pháp GPR</w:t>
            </w:r>
            <w:r>
              <w:tab/>
            </w:r>
            <w:r>
              <w:fldChar w:fldCharType="begin" w:dirty="true"/>
              <w:instrText xml:space="preserve">PAGEREF _Toc19 \h</w:instrText>
              <w:fldChar w:fldCharType="separate"/>
              <w:fldChar w:fldCharType="end"/>
            </w:r>
          </w:hyperlink>
        </w:p>
        <w:p>
          <w:pPr>
            <w:pStyle w:val="TOC1"/>
            <w:tabs>
              <w:tab w:val="right" w:pos="8787" w:leader="dot"/>
            </w:tabs>
          </w:pPr>
          <w:hyperlink w:history="1" w:anchor="_Toc21">
            <w:r>
              <w:t xml:space="preserve">Hình 2.2. Hyperbol thời gian truyền của vật hình trụ (d = 0,5 m; R = 0,05 m) ứng với ba vận tốc sóng khác nhau</w:t>
            </w:r>
            <w:r>
              <w:tab/>
            </w:r>
            <w:r>
              <w:fldChar w:fldCharType="begin" w:dirty="true"/>
              <w:instrText xml:space="preserve">PAGEREF _Toc21 \h</w:instrText>
              <w:fldChar w:fldCharType="separate"/>
              <w:fldChar w:fldCharType="end"/>
            </w:r>
          </w:hyperlink>
        </w:p>
        <w:p>
          <w:r>
            <w:fldChar w:fldCharType="end"/>
          </w:r>
        </w:p>
      </w:sdtContent>
    </w:sdt>
    <w:p>
      <w:pPr>
        <w:sectPr>
          <w:footerReference w:type="default" r:id="rId6"/>
          <w:type w:val="nextPage"/>
          <w:pgSz w:w="11906" w:h="16838" w:orient="portrait"/>
          <w:pgMar w:top="1985" w:right="1134" w:bottom="1701" w:left="1985" w:header="851" w:footer="851" w:gutter="0"/>
          <w:pgNumType w:start="1" w:fmt="lowerRoman"/>
          <w:docGrid w:linePitch="360"/>
        </w:sectPr>
      </w:pPr>
    </w:p>
    <w:p>
      <w:pPr>
        <w:pStyle w:val="Heading1"/>
      </w:pPr>
      <w:bookmarkStart w:name="_Toc1" w:id="1"/>
      <w:r>
        <w:t xml:space="preserve">MỞ ĐẦU</w:t>
      </w:r>
      <w:bookmarkEnd w:id="1"/>
    </w:p>
    <w:p>
      <w:pPr>
        <w:pStyle w:val="HuongDan"/>
      </w:pPr>
      <w:r>
        <w:rPr>
          <w:b/>
          <w:bCs/>
        </w:rPr>
        <w:t xml:space="preserve">► Hướng dẫn: </w:t>
      </w:r>
      <w:r>
        <w:t xml:space="preserve">Tối đa </w:t>
      </w:r>
      <w:r>
        <w:rPr>
          <w:b/>
          <w:bCs/>
        </w:rPr>
        <w:t xml:space="preserve">1 trang</w:t>
      </w:r>
      <w:r>
        <w:t xml:space="preserve">. Năm ý theo đúng yêu cầu của môn học. Văn bản bên dưới là bản nháp mẫu – nhóm cần viết lại bằng lời văn của mình.</w:t>
      </w:r>
    </w:p>
    <w:p>
      <w:r>
        <w:rPr>
          <w:b/>
          <w:bCs/>
        </w:rPr>
        <w:t xml:space="preserve">Đặt vấn đề.</w:t>
      </w:r>
      <w:r>
        <w:t xml:space="preserve"> Quá trình đô thị hóa nhanh tại TP. Hồ Chí Minh làm mạng lưới cáp điện, cáp viễn thông, ống cấp và thoát nước dưới lòng đất ngày càng dày đặc. Bản vẽ hoàn công thường thiếu hoặc sai lệch so với thực tế </w:t>
      </w:r>
      <w:r>
        <w:t xml:space="preserve">[1]</w:t>
      </w:r>
      <w:r>
        <w:t xml:space="preserve">, nên việc đào đường thi công dễ làm hư hỏng công trình hiện hữu, gây mất điện, mất nước và mất an toàn. Việc quản lý không gian xây dựng ngầm đô thị đã được quy định trong </w:t>
      </w:r>
      <w:r>
        <w:t xml:space="preserve">[2]</w:t>
      </w:r>
      <w:r>
        <w:t xml:space="preserve">. Vì vậy cần có phương pháp xác định vị trí và độ sâu của công trình ngầm mà không phải đào phá.</w:t>
      </w:r>
    </w:p>
    <w:p>
      <w:r>
        <w:rPr>
          <w:b/>
          <w:bCs/>
        </w:rPr>
        <w:t xml:space="preserve">Hướng giải quyết.</w:t>
      </w:r>
      <w:r>
        <w:t xml:space="preserve"> Sử dụng phương pháp ra đa xuyên đất (GPR), một phương pháp kiểm tra không phá hủy (NDT) dựa trên sự phản xạ của sóng điện từ tần số cao. GPR phát hiện được cả vật kim loại lẫn vật phi kim và cho biết độ sâu của chúng </w:t>
      </w:r>
      <w:r>
        <w:t xml:space="preserve">[3, 4]</w:t>
      </w:r>
      <w:r>
        <w:t xml:space="preserve">.</w:t>
      </w:r>
    </w:p>
    <w:p>
      <w:r>
        <w:rPr>
          <w:b/>
          <w:bCs/>
        </w:rPr>
        <w:t xml:space="preserve">Phương pháp giải quyết.</w:t>
      </w:r>
      <w:r>
        <w:t xml:space="preserve"> (i) Tổng quan tài liệu trong và ngoài nước về GPR; (ii) trình bày cơ sở lý thuyết truyền sóng điện từ và nguyên lý tạo ảnh GPR; (iii) mô phỏng FDTD bằng phần mềm gprMax </w:t>
      </w:r>
      <w:r>
        <w:t xml:space="preserve">[5]</w:t>
      </w:r>
      <w:r>
        <w:t xml:space="preserve">; (iv) khảo sát thực nghiệm bằng máy GPR tại [địa điểm], xử lý dữ liệu và đối chiếu với bản vẽ hiện có.</w:t>
      </w:r>
    </w:p>
    <w:p>
      <w:r>
        <w:rPr>
          <w:b/>
          <w:bCs/>
        </w:rPr>
        <w:t xml:space="preserve">Dự đoán kết quả.</w:t>
      </w:r>
      <w:r>
        <w:t xml:space="preserve"> Xác định được vị trí, độ sâu và vận tốc sóng điện từ tại khu vực khảo sát; phân biệt được cáp kim loại với ống phi kim dựa trên pha của tín hiệu phản xạ; chỉ ra các yếu tố làm hạn chế khả năng phát hiện của GPR.</w:t>
      </w:r>
    </w:p>
    <w:p>
      <w:r>
        <w:rPr>
          <w:b/>
          <w:bCs/>
        </w:rPr>
        <w:t xml:space="preserve">Bố cục.</w:t>
      </w:r>
      <w:r>
        <w:t xml:space="preserve"> Ngoài Mở đầu và Tài liệu tham khảo, báo cáo gồm hai chương: Chương 1 – Tổng quan; Chương 2 – Phương pháp (cơ sở lý thuyết; khái niệm và phương pháp GPR).</w:t>
      </w:r>
    </w:p>
    <w:p>
      <w:pPr>
        <w:pStyle w:val="Heading1"/>
        <w:pageBreakBefore/>
      </w:pPr>
      <w:bookmarkStart w:name="_Toc2" w:id="2"/>
      <w:r>
        <w:t xml:space="preserve">CHƯƠNG 1. TỔNG QUAN</w:t>
      </w:r>
      <w:bookmarkEnd w:id="2"/>
    </w:p>
    <w:p>
      <w:pPr>
        <w:pStyle w:val="HuongDan"/>
      </w:pPr>
      <w:r>
        <w:rPr>
          <w:b/>
          <w:bCs/>
        </w:rPr>
        <w:t xml:space="preserve">► Hướng dẫn: </w:t>
      </w:r>
      <w:r>
        <w:t xml:space="preserve">Khoảng 5–6 trang. Mỗi nhận định lấy từ tài liệu phải có trích dẫn [số]. Không chép nguyên văn; tóm tắt và nhận xét.</w:t>
      </w:r>
    </w:p>
    <w:p>
      <w:pPr>
        <w:pStyle w:val="Heading2"/>
      </w:pPr>
      <w:bookmarkStart w:name="_Toc3" w:id="3"/>
      <w:r>
        <w:t xml:space="preserve">1.1. Tình hình nghiên cứu trong và ngoài nước</w:t>
      </w:r>
      <w:bookmarkEnd w:id="3"/>
    </w:p>
    <w:p>
      <w:pPr>
        <w:pStyle w:val="Heading3"/>
      </w:pPr>
      <w:bookmarkStart w:name="_Toc4" w:id="4"/>
      <w:r>
        <w:t xml:space="preserve">1.1.1. Tình hình nghiên cứu ngoài nước</w:t>
      </w:r>
      <w:bookmarkEnd w:id="4"/>
    </w:p>
    <w:p>
      <w:r>
        <w:t xml:space="preserve">GPR đã được nghiên cứu như một công cụ cảm biến môi trường dưới mặt đất từ nhiều thập kỷ </w:t>
      </w:r>
      <w:r>
        <w:t xml:space="preserve">[6]</w:t>
      </w:r>
      <w:r>
        <w:t xml:space="preserve">. Tổng quan của Lai và cộng sự cho thấy trong khoảng 30 năm, ứng dụng GPR trong xây dựng dân dụng đã phát triển từ định vị và kiểm tra sang tạo ảnh và chẩn đoán </w:t>
      </w:r>
      <w:r>
        <w:t xml:space="preserve">[3]</w:t>
      </w:r>
      <w:r>
        <w:t xml:space="preserve">. Trong lĩnh vực công trình ngầm đô thị, tổng quan của chương trình </w:t>
      </w:r>
      <w:r>
        <w:rPr>
          <w:i/>
          <w:iCs/>
        </w:rPr>
        <w:t xml:space="preserve">Mapping the Underworld</w:t>
      </w:r>
      <w:r>
        <w:t xml:space="preserve"> tại Anh cho thấy GPR là một trong số ít phương pháp phát hiện được cả ống phi kim. Tuy nhiên, hiệu quả của GPR giảm mạnh trong đất có độ dẫn điện cao </w:t>
      </w:r>
      <w:r>
        <w:t xml:space="preserve">[4, 7]</w:t>
      </w:r>
      <w:r>
        <w:t xml:space="preserve">.</w:t>
      </w:r>
    </w:p>
    <w:p>
      <w:r>
        <w:t xml:space="preserve">Về xử lý dữ liệu, việc tự động nhận dạng hyperbol phản xạ từ công trình ngầm đã được nghiên cứu bằng mạng nơ-ron </w:t>
      </w:r>
      <w:r>
        <w:t xml:space="preserve">[8]</w:t>
      </w:r>
      <w:r>
        <w:t xml:space="preserve">, bằng thuật toán phát hiện và khớp hyperbol </w:t>
      </w:r>
      <w:r>
        <w:t xml:space="preserve">[9]</w:t>
      </w:r>
      <w:r>
        <w:t xml:space="preserve">, và gần đây bằng học sâu </w:t>
      </w:r>
      <w:r>
        <w:t xml:space="preserve">[10]</w:t>
      </w:r>
      <w:r>
        <w:t xml:space="preserve">. Mô phỏng số bằng phương pháp FDTD với phần mềm mã nguồn mở gprMax được dùng rộng rãi để thiết kế khảo sát và minh giải dữ liệu </w:t>
      </w:r>
      <w:r>
        <w:t xml:space="preserve">[5, 11]</w:t>
      </w:r>
      <w:r>
        <w:t xml:space="preserve">. Quy trình đo GPR đã được chuẩn hóa trong ASTM D6432 </w:t>
      </w:r>
      <w:r>
        <w:t xml:space="preserve">[12]</w:t>
      </w:r>
      <w:r>
        <w:t xml:space="preserve">, và công tác khảo sát công trình ngầm được chuẩn hóa trong PAS 128 </w:t>
      </w:r>
      <w:r>
        <w:t xml:space="preserve">[13]</w:t>
      </w:r>
      <w:r>
        <w:t xml:space="preserve"> và ASCE 38 </w:t>
      </w:r>
      <w:r>
        <w:t xml:space="preserve">[14]</w:t>
      </w:r>
      <w:r>
        <w:t xml:space="preserve">. Trong khu vực Đông Nam Á, GPR đã được dùng để phát hiện hốc rỗng dưới mặt đường tại Bangkok, nơi nền đất sét mềm có điều kiện gần giống TP. Hồ Chí Minh </w:t>
      </w:r>
      <w:r>
        <w:t xml:space="preserve">[15]</w:t>
      </w:r>
      <w:r>
        <w:t xml:space="preserve">.</w:t>
      </w:r>
    </w:p>
    <w:p>
      <w:pPr>
        <w:pStyle w:val="Heading3"/>
      </w:pPr>
      <w:bookmarkStart w:name="_Toc5" w:id="5"/>
      <w:r>
        <w:t xml:space="preserve">1.1.2. Tình hình nghiên cứu trong nước</w:t>
      </w:r>
      <w:bookmarkEnd w:id="5"/>
    </w:p>
    <w:p>
      <w:r>
        <w:t xml:space="preserve">Tại Trường ĐH Khoa học Tự nhiên, ĐHQG-HCM, nhóm nghiên cứu của Bộ môn Vật lý Địa cầu đã xây dựng phần mềm xử lý dữ liệu GPR đầu tiên ở Việt Nam là GPRTVN. Phần mềm đọc được dữ liệu của nhiều loại máy và đã được dùng để lập sơ đồ ống cấp nước trên đường Nguyễn Hồng, TP. Hồ Chí Minh </w:t>
      </w:r>
      <w:r>
        <w:t xml:space="preserve">[1]</w:t>
      </w:r>
      <w:r>
        <w:t xml:space="preserve">. Nhóm cũng đề xuất các kỹ thuật dịch chuyển kết hợp đồ thị năng lượng để xác định vận tốc sóng và vị trí vật thể ngầm tại quận Gò Vấp </w:t>
      </w:r>
      <w:r>
        <w:t xml:space="preserve">[16–18]</w:t>
      </w:r>
      <w:r>
        <w:t xml:space="preserve">. Ngoài ra, nhóm đã biểu diễn dữ liệu GPR 2D trong không gian 3D để phát hiện dị vật ở độ sâu 0,45–1 m </w:t>
      </w:r>
      <w:r>
        <w:t xml:space="preserve">[19]</w:t>
      </w:r>
      <w:r>
        <w:t xml:space="preserve">, và phân biệt đối tượng kim loại với phi kim dựa trên pha của sóng nhiễu xạ </w:t>
      </w:r>
      <w:r>
        <w:t xml:space="preserve">[20]</w:t>
      </w:r>
      <w:r>
        <w:t xml:space="preserve">. Một số nghiên cứu khác áp dụng biến đổi wavelet để xử lý dữ liệu GPR </w:t>
      </w:r>
      <w:r>
        <w:t xml:space="preserve">[21]</w:t>
      </w:r>
      <w:r>
        <w:t xml:space="preserve">, hoặc dùng GPR trong khảo sát địa kỹ thuật </w:t>
      </w:r>
      <w:r>
        <w:t xml:space="preserve">[22]</w:t>
      </w:r>
      <w:r>
        <w:t xml:space="preserve">.</w:t>
      </w:r>
    </w:p>
    <w:p>
      <w:r>
        <w:rPr>
          <w:b/>
          <w:bCs/>
        </w:rPr>
        <w:t xml:space="preserve">Nhận xét.</w:t>
      </w:r>
      <w:r>
        <w:t xml:space="preserve"> Các công trình trong nước tìm được chủ yếu tập trung vào thuật toán xử lý và minh giải dữ liệu GPR. Số công trình đánh giá có hệ thống khả năng phát hiện cáp và ống ngầm của GPR trong điều kiện đất của TP. Hồ Chí Minh còn ít. Đây là hướng mà đề tài tập trung.</w:t>
      </w:r>
    </w:p>
    <w:p>
      <w:pPr>
        <w:pStyle w:val="HuongDan"/>
      </w:pPr>
      <w:r>
        <w:rPr>
          <w:b/>
          <w:bCs/>
        </w:rPr>
        <w:t xml:space="preserve">► Hướng dẫn: </w:t>
      </w:r>
      <w:r>
        <w:t xml:space="preserve">Bổ sung 2–3 công trình nhóm tự tìm thêm, ví dụ trên VJOL hoặc Google Scholar. Kiểm tra lại nhận xét trên sau khi tổng quan xong.</w:t>
      </w:r>
    </w:p>
    <w:p>
      <w:pPr>
        <w:pStyle w:val="Heading2"/>
      </w:pPr>
      <w:bookmarkStart w:name="_Toc6" w:id="6"/>
      <w:r>
        <w:t xml:space="preserve">1.2. Giới thiệu vấn đề</w:t>
      </w:r>
      <w:bookmarkEnd w:id="6"/>
    </w:p>
    <w:p>
      <w:r>
        <w:t xml:space="preserve">Công trình ngầm đô thị gồm: cáp điện trung thế và hạ thế; cáp viễn thông và cáp quang; ống cấp nước (gang, thép, HDPE, PVC); cống thoát nước bê tông; ống dẫn khí; hào và tuy-nen kỹ thuật. Đối với GPR, các công trình này khác nhau ở </w:t>
      </w:r>
      <w:r>
        <w:rPr>
          <w:b/>
          <w:bCs/>
        </w:rPr>
        <w:t xml:space="preserve">tính chất điện từ</w:t>
      </w:r>
      <w:r>
        <w:t xml:space="preserve"> so với đất xung quanh. Vật kim loại phản xạ gần như toàn phần; ống nhựa, cống bê tông và cáp quang phản xạ yếu hơn, và cường độ phản xạ phụ thuộc vào chất chứa bên trong (không khí hay nước). Sự khác biệt này quyết định khả năng phát hiện và cách minh giải, như trình bày ở Chương 2.</w:t>
      </w: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Sơ đồ mặt cắt ngang một tuyến đường đô thị với các loại cáp, ống ngầm (nhóm tự vẽ hoặc trích nguồn)</w:t>
      </w:r>
      <w:r>
        <w:br/>
        <w:t xml:space="preserve"/>
      </w:r>
      <w:r>
        <w:br/>
        <w:t xml:space="preserve"/>
      </w:r>
      <w:r>
        <w:br/>
        <w:t xml:space="preserve"/>
      </w:r>
      <w:r>
        <w:br/>
        <w:t xml:space="preserve"/>
      </w:r>
    </w:p>
    <w:p>
      <w:pPr>
        <w:pStyle w:val="CaptionHinh"/>
      </w:pPr>
      <w:bookmarkStart w:name="_Toc7" w:id="7"/>
      <w:r>
        <w:rPr>
          <w:b/>
          <w:bCs/>
        </w:rPr>
        <w:t xml:space="preserve">Hình 1.1. </w:t>
      </w:r>
      <w:r>
        <w:t xml:space="preserve">Sơ đồ bố trí công trình ngầm điển hình dưới lòng đường đô thị</w:t>
      </w:r>
      <w:bookmarkEnd w:id="7"/>
    </w:p>
    <w:p>
      <w:pPr>
        <w:pStyle w:val="Heading2"/>
      </w:pPr>
      <w:bookmarkStart w:name="_Toc8" w:id="8"/>
      <w:r>
        <w:t xml:space="preserve">1.3. Phương pháp</w:t>
      </w:r>
      <w:bookmarkEnd w:id="8"/>
    </w:p>
    <w:p>
      <w:r>
        <w:t xml:space="preserve">GPR được chọn làm phương pháp của đề tài vì ba lý do: phát hiện được cả vật kim loại và phi kim; cho biết đồng thời vị trí và độ sâu; đo nhanh trên diện rộng mà không phải đào phá </w:t>
      </w:r>
      <w:r>
        <w:t xml:space="preserve">[3, 4]</w:t>
      </w:r>
      <w:r>
        <w:t xml:space="preserve">. Bảng 1.1 tóm tắt các dạng hệ GPR thường dùng trong khảo sát công trình ngầm.</w:t>
      </w:r>
    </w:p>
    <w:p>
      <w:pPr>
        <w:pStyle w:val="CaptionBang"/>
      </w:pPr>
      <w:bookmarkStart w:name="_Toc9" w:id="9"/>
      <w:r>
        <w:rPr>
          <w:b/>
          <w:bCs/>
        </w:rPr>
        <w:t xml:space="preserve">Bảng 1.1. </w:t>
      </w:r>
      <w:r>
        <w:t xml:space="preserve">Các dạng hệ GPR dùng trong khảo sát công trình ngầm</w:t>
      </w:r>
      <w:bookmarkEnd w:id="9"/>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2460"/>
        <w:gridCol w:w="2108"/>
        <w:gridCol w:w="2111"/>
      </w:tblGrid>
      <w:tr>
        <w:trPr>
          <w:tblHeader/>
        </w:trPr>
        <w:tc>
          <w:tcPr>
            <w:tcW w:type="dxa" w:w="210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Dạng hệ</w:t>
            </w:r>
          </w:p>
        </w:tc>
        <w:tc>
          <w:tcPr>
            <w:tcW w:type="dxa" w:w="24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Đặc điểm</w:t>
            </w:r>
          </w:p>
        </w:tc>
        <w:tc>
          <w:tcPr>
            <w:tcW w:type="dxa" w:w="210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Ưu điểm</w:t>
            </w:r>
          </w:p>
        </w:tc>
        <w:tc>
          <w:tcPr>
            <w:tcW w:type="dxa" w:w="211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Hạn chế</w:t>
            </w:r>
          </w:p>
        </w:tc>
      </w:tr>
      <w:t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Hệ xung, một anten có bọc chắn</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Một cặp anten Tx/Rx, một tần số trung tâm</w:t>
            </w:r>
          </w:p>
        </w:tc>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Gọn nhẹ, dễ dùng, giá thấp</w:t>
            </w:r>
          </w:p>
        </w:tc>
        <w:tc>
          <w:tcPr>
            <w:tcW w:type="dxa" w:w="21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Phải chọn trước tần số: hoặc sâu, hoặc phân giải cao</w:t>
            </w:r>
          </w:p>
        </w:tc>
      </w:tr>
      <w:t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Hệ xung, hai tần số đồng thời</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Hai anten tần số khác nhau trong cùng một khối (ví dụ 250 và 700 MHz </w:t>
            </w:r>
            <w:r>
              <w:t xml:space="preserve">[19]</w:t>
            </w:r>
            <w:r>
              <w:t xml:space="preserve">)</w:t>
            </w:r>
          </w:p>
        </w:tc>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Một lần đo được cả lớp nông (phân giải cao) và lớp sâu hơn</w:t>
            </w:r>
          </w:p>
        </w:tc>
        <w:tc>
          <w:tcPr>
            <w:tcW w:type="dxa" w:w="21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Thiết bị nặng hơn; dữ liệu nhiều hơn</w:t>
            </w:r>
          </w:p>
        </w:tc>
      </w:tr>
      <w:t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Hệ mảng nhiều anten</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Nhiều kênh đo song song</w:t>
            </w:r>
          </w:p>
        </w:tc>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Lập ảnh 3D nhanh trên diện rộng</w:t>
            </w:r>
          </w:p>
        </w:tc>
        <w:tc>
          <w:tcPr>
            <w:tcW w:type="dxa" w:w="21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Đắt; cần định vị chính xác</w:t>
            </w:r>
          </w:p>
        </w:tc>
      </w:tr>
    </w:tbl>
    <w:p>
      <w:pPr>
        <w:spacing w:after="120" w:before="0" w:line="240"/>
        <w:ind w:firstLine="0"/>
      </w:pPr>
    </w:p>
    <w:p>
      <w:r>
        <w:t xml:space="preserve">Hạn chế chung của GPR là độ sâu xuyên giảm mạnh trong đất sét ẩm và đất nhiễm mặn, và kết quả minh giải phụ thuộc vào kinh nghiệm của người xử lý </w:t>
      </w:r>
      <w:r>
        <w:t xml:space="preserve">[1, 4]</w:t>
      </w:r>
      <w:r>
        <w:t xml:space="preserve">.</w:t>
      </w:r>
    </w:p>
    <w:p>
      <w:pPr>
        <w:pStyle w:val="Heading2"/>
      </w:pPr>
      <w:bookmarkStart w:name="_Toc10" w:id="10"/>
      <w:r>
        <w:t xml:space="preserve">1.4. Phạm vi ứng dụng</w:t>
      </w:r>
      <w:bookmarkEnd w:id="10"/>
    </w:p>
    <w:p>
      <w:pPr>
        <w:pStyle w:val="ListParagraph"/>
        <w:numPr>
          <w:ilvl w:val="0"/>
          <w:numId w:val="2"/>
        </w:numPr>
      </w:pPr>
      <w:r>
        <w:rPr>
          <w:b/>
          <w:bCs/>
        </w:rPr>
        <w:t xml:space="preserve">Công trình ngầm:</w:t>
      </w:r>
      <w:r>
        <w:t xml:space="preserve"> định vị cáp điện, cáp viễn thông, ống cấp và thoát nước </w:t>
      </w:r>
      <w:r>
        <w:t xml:space="preserve">[1, 16]</w:t>
      </w:r>
      <w:r>
        <w:t xml:space="preserve">.</w:t>
      </w:r>
    </w:p>
    <w:p>
      <w:pPr>
        <w:pStyle w:val="ListParagraph"/>
        <w:numPr>
          <w:ilvl w:val="0"/>
          <w:numId w:val="2"/>
        </w:numPr>
      </w:pPr>
      <w:r>
        <w:rPr>
          <w:b/>
          <w:bCs/>
        </w:rPr>
        <w:t xml:space="preserve">Giao thông:</w:t>
      </w:r>
      <w:r>
        <w:t xml:space="preserve"> phát hiện hốc rỗng, sụt lún dưới mặt đường </w:t>
      </w:r>
      <w:r>
        <w:t xml:space="preserve">[15]</w:t>
      </w:r>
      <w:r>
        <w:t xml:space="preserve">; kiểm tra các lớp kết cấu đường </w:t>
      </w:r>
      <w:r>
        <w:t xml:space="preserve">[23]</w:t>
      </w:r>
      <w:r>
        <w:t xml:space="preserve">.</w:t>
      </w:r>
    </w:p>
    <w:p>
      <w:pPr>
        <w:pStyle w:val="ListParagraph"/>
        <w:numPr>
          <w:ilvl w:val="0"/>
          <w:numId w:val="2"/>
        </w:numPr>
      </w:pPr>
      <w:r>
        <w:rPr>
          <w:b/>
          <w:bCs/>
        </w:rPr>
        <w:t xml:space="preserve">Xây dựng và địa kỹ thuật:</w:t>
      </w:r>
      <w:r>
        <w:t xml:space="preserve"> xác định cốt thép trong bê tông; khảo sát địa tầng nông </w:t>
      </w:r>
      <w:r>
        <w:t xml:space="preserve">[22]</w:t>
      </w:r>
      <w:r>
        <w:t xml:space="preserve">.</w:t>
      </w:r>
    </w:p>
    <w:p>
      <w:pPr>
        <w:pStyle w:val="ListParagraph"/>
        <w:numPr>
          <w:ilvl w:val="0"/>
          <w:numId w:val="2"/>
        </w:numPr>
      </w:pPr>
      <w:r>
        <w:rPr>
          <w:b/>
          <w:bCs/>
        </w:rPr>
        <w:t xml:space="preserve">Phạm vi của đề tài:</w:t>
      </w:r>
      <w:r>
        <w:t xml:space="preserve"> đối tượng là [cáp điện, ống nước …] ở độ sâu ≤ [2] m tại [khu vực …]; thiết bị là [máy GPR …, anten … MHz].</w:t>
      </w:r>
    </w:p>
    <w:p>
      <w:pPr>
        <w:pStyle w:val="Heading1"/>
        <w:pageBreakBefore/>
      </w:pPr>
      <w:bookmarkStart w:name="_Toc11" w:id="11"/>
      <w:r>
        <w:t xml:space="preserve">CHƯƠNG 2. PHƯƠNG PHÁP</w:t>
      </w:r>
      <w:bookmarkEnd w:id="11"/>
    </w:p>
    <w:p>
      <w:pPr>
        <w:pStyle w:val="HuongDan"/>
      </w:pPr>
      <w:r>
        <w:rPr>
          <w:b/>
          <w:bCs/>
        </w:rPr>
        <w:t xml:space="preserve">► Hướng dẫn: </w:t>
      </w:r>
      <w:r>
        <w:t xml:space="preserve">Khoảng 7–8 trang. Theo ghi chú của môn học: </w:t>
      </w:r>
      <w:r>
        <w:rPr>
          <w:i/>
          <w:iCs/>
        </w:rPr>
        <w:t xml:space="preserve">Siêu âm → sóng điện từ → GPR</w:t>
      </w:r>
      <w:r>
        <w:t xml:space="preserve">. Mỗi công thức phải giải thích ký hiệu và đơn vị ngay sau khi xuất hiện.</w:t>
      </w:r>
    </w:p>
    <w:p>
      <w:pPr>
        <w:pStyle w:val="Heading2"/>
      </w:pPr>
      <w:bookmarkStart w:name="_Toc12" w:id="12"/>
      <w:r>
        <w:t xml:space="preserve">2.1. Cơ sở lý thuyết</w:t>
      </w:r>
      <w:bookmarkEnd w:id="12"/>
    </w:p>
    <w:p>
      <w:pPr>
        <w:pStyle w:val="Heading3"/>
      </w:pPr>
      <w:bookmarkStart w:name="_Toc13" w:id="13"/>
      <w:r>
        <w:t xml:space="preserve">2.1.1. Truyền sóng điện từ trong môi trường đất</w:t>
      </w:r>
      <w:bookmarkEnd w:id="13"/>
    </w:p>
    <w:p>
      <w:r>
        <w:t xml:space="preserve">Sự lan truyền của sóng điện từ trong đất được mô tả bởi hệ phương trình Maxwell. Ba thông số đặc trưng cho môi trường là hằng số điện môi tương đối ε</w:t>
      </w:r>
      <w:r>
        <w:rPr>
          <w:vertAlign w:val="subscript"/>
        </w:rPr>
        <w:t xml:space="preserve">r</w:t>
      </w:r>
      <w:r>
        <w:t xml:space="preserve">, độ dẫn điện σ (S/m) và độ từ thẩm tương đối μ</w:t>
      </w:r>
      <w:r>
        <w:rPr>
          <w:vertAlign w:val="subscript"/>
        </w:rPr>
        <w:t xml:space="preserve">r</w:t>
      </w:r>
      <w:r>
        <w:t xml:space="preserve"> </w:t>
      </w:r>
      <w:r>
        <w:t xml:space="preserve">[24, 25]</w:t>
      </w:r>
      <w:r>
        <w:t xml:space="preserve">. Với môi trường ít tổn hao và không có từ tính (μ</w:t>
      </w:r>
      <w:r>
        <w:rPr>
          <w:vertAlign w:val="subscript"/>
        </w:rPr>
        <w:t xml:space="preserve">r</w:t>
      </w:r>
      <w:r>
        <w:t xml:space="preserve"> ≈ 1), vận tốc sóng là:</w:t>
      </w:r>
    </w:p>
    <w:p>
      <w:pPr>
        <w:tabs>
          <w:tab w:val="center" w:pos="4394"/>
          <w:tab w:val="right" w:pos="8787"/>
        </w:tabs>
        <w:spacing w:after="60" w:before="60"/>
        <w:ind w:firstLine="0"/>
      </w:pPr>
      <w:r>
        <w:t xml:space="preserve">	</w:t>
      </w:r>
      <m:oMath>
        <m:r>
          <m:t>v=</m:t>
        </m:r>
        <m:f>
          <m:num>
            <m:r>
              <m:t>c</m:t>
            </m:r>
          </m:num>
          <m:den>
            <m:rad>
              <m:radPr>
                <m:degHide m:val="1"/>
              </m:radPr>
              <m:deg/>
              <m:e>
                <m:sSub>
                  <m:sSubPr/>
                  <m:e>
                    <m:r>
                      <m:t>ε</m:t>
                    </m:r>
                  </m:e>
                  <m:sub>
                    <m:r>
                      <m:t>r</m:t>
                    </m:r>
                  </m:sub>
                </m:sSub>
              </m:e>
            </m:rad>
          </m:den>
        </m:f>
      </m:oMath>
      <w:r>
        <w:t xml:space="preserve">	(2.1)</w:t>
      </w:r>
    </w:p>
    <w:p>
      <w:r>
        <w:t xml:space="preserve">trong đó c = 0,3 m/ns là vận tốc ánh sáng trong chân không. Độ sâu d của mặt phản xạ tính từ thời gian truyền hai chiều t:</w:t>
      </w:r>
    </w:p>
    <w:p>
      <w:pPr>
        <w:tabs>
          <w:tab w:val="center" w:pos="4394"/>
          <w:tab w:val="right" w:pos="8787"/>
        </w:tabs>
        <w:spacing w:after="60" w:before="60"/>
        <w:ind w:firstLine="0"/>
      </w:pPr>
      <w:r>
        <w:t xml:space="preserve">	</w:t>
      </w:r>
      <m:oMath>
        <m:r>
          <m:t>d=</m:t>
        </m:r>
        <m:f>
          <m:num>
            <m:r>
              <m:t>v·t</m:t>
            </m:r>
          </m:num>
          <m:den>
            <m:r>
              <m:t>2</m:t>
            </m:r>
          </m:den>
        </m:f>
      </m:oMath>
      <w:r>
        <w:t xml:space="preserve">	(2.2)</w:t>
      </w:r>
    </w:p>
    <w:p>
      <w:r>
        <w:t xml:space="preserve">Sóng phản xạ khi gặp mặt phân cách giữa hai môi trường có hằng số điện môi khác nhau. Hệ số phản xạ biên độ là:</w:t>
      </w:r>
    </w:p>
    <w:p>
      <w:pPr>
        <w:tabs>
          <w:tab w:val="center" w:pos="4394"/>
          <w:tab w:val="right" w:pos="8787"/>
        </w:tabs>
        <w:spacing w:after="60" w:before="60"/>
        <w:ind w:firstLine="0"/>
      </w:pPr>
      <w:r>
        <w:t xml:space="preserve">	</w:t>
      </w:r>
      <m:oMath>
        <m:r>
          <m:t>R=</m:t>
        </m:r>
        <m:f>
          <m:num>
            <m:rad>
              <m:radPr>
                <m:degHide m:val="1"/>
              </m:radPr>
              <m:deg/>
              <m:e>
                <m:sSub>
                  <m:sSubPr/>
                  <m:e>
                    <m:r>
                      <m:t>ε</m:t>
                    </m:r>
                  </m:e>
                  <m:sub>
                    <m:r>
                      <m:t>1</m:t>
                    </m:r>
                  </m:sub>
                </m:sSub>
              </m:e>
            </m:rad>
            <m:r>
              <m:t>−</m:t>
            </m:r>
            <m:rad>
              <m:radPr>
                <m:degHide m:val="1"/>
              </m:radPr>
              <m:deg/>
              <m:e>
                <m:sSub>
                  <m:sSubPr/>
                  <m:e>
                    <m:r>
                      <m:t>ε</m:t>
                    </m:r>
                  </m:e>
                  <m:sub>
                    <m:r>
                      <m:t>2</m:t>
                    </m:r>
                  </m:sub>
                </m:sSub>
              </m:e>
            </m:rad>
          </m:num>
          <m:den>
            <m:rad>
              <m:radPr>
                <m:degHide m:val="1"/>
              </m:radPr>
              <m:deg/>
              <m:e>
                <m:sSub>
                  <m:sSubPr/>
                  <m:e>
                    <m:r>
                      <m:t>ε</m:t>
                    </m:r>
                  </m:e>
                  <m:sub>
                    <m:r>
                      <m:t>1</m:t>
                    </m:r>
                  </m:sub>
                </m:sSub>
              </m:e>
            </m:rad>
            <m:r>
              <m:t>+</m:t>
            </m:r>
            <m:rad>
              <m:radPr>
                <m:degHide m:val="1"/>
              </m:radPr>
              <m:deg/>
              <m:e>
                <m:sSub>
                  <m:sSubPr/>
                  <m:e>
                    <m:r>
                      <m:t>ε</m:t>
                    </m:r>
                  </m:e>
                  <m:sub>
                    <m:r>
                      <m:t>2</m:t>
                    </m:r>
                  </m:sub>
                </m:sSub>
              </m:e>
            </m:rad>
          </m:den>
        </m:f>
      </m:oMath>
      <w:r>
        <w:t xml:space="preserve">	(2.3)</w:t>
      </w:r>
    </w:p>
    <w:p>
      <w:r>
        <w:t xml:space="preserve">Với vật kim loại, R ≈ −1, tức phản xạ toàn phần và đảo pha. Với ống nhựa chứa không khí trong đất ẩm (ε</w:t>
      </w:r>
      <w:r>
        <w:rPr>
          <w:vertAlign w:val="subscript"/>
        </w:rPr>
        <w:t xml:space="preserve">2</w:t>
      </w:r>
      <w:r>
        <w:t xml:space="preserve"> &lt; ε</w:t>
      </w:r>
      <w:r>
        <w:rPr>
          <w:vertAlign w:val="subscript"/>
        </w:rPr>
        <w:t xml:space="preserve">1</w:t>
      </w:r>
      <w:r>
        <w:t xml:space="preserve">), R &gt; 0, nên pha không đảo. Sự khác biệt về pha này là cơ sở để phân biệt vật kim loại với vật phi kim </w:t>
      </w:r>
      <w:r>
        <w:t xml:space="preserve">[20]</w:t>
      </w:r>
      <w:r>
        <w:t xml:space="preserve">. Hệ số suy giảm gần đúng (dB/m, với σ tính bằng mS/m) là </w:t>
      </w:r>
      <w:r>
        <w:t xml:space="preserve">[25]</w:t>
      </w:r>
      <w:r>
        <w:t xml:space="preserve">:</w:t>
      </w:r>
    </w:p>
    <w:p>
      <w:pPr>
        <w:tabs>
          <w:tab w:val="center" w:pos="4394"/>
          <w:tab w:val="right" w:pos="8787"/>
        </w:tabs>
        <w:spacing w:after="60" w:before="60"/>
        <w:ind w:firstLine="0"/>
      </w:pPr>
      <w:r>
        <w:t xml:space="preserve">	</w:t>
      </w:r>
      <m:oMath>
        <m:r>
          <m:t>α≈1,69</m:t>
        </m:r>
        <m:f>
          <m:num>
            <m:r>
              <m:t>σ</m:t>
            </m:r>
          </m:num>
          <m:den>
            <m:rad>
              <m:radPr>
                <m:degHide m:val="1"/>
              </m:radPr>
              <m:deg/>
              <m:e>
                <m:sSub>
                  <m:sSubPr/>
                  <m:e>
                    <m:r>
                      <m:t>ε</m:t>
                    </m:r>
                  </m:e>
                  <m:sub>
                    <m:r>
                      <m:t>r</m:t>
                    </m:r>
                  </m:sub>
                </m:sSub>
              </m:e>
            </m:rad>
          </m:den>
        </m:f>
      </m:oMath>
      <w:r>
        <w:t xml:space="preserve">	(2.4)</w:t>
      </w:r>
    </w:p>
    <w:p>
      <w:r>
        <w:t xml:space="preserve">Từ công thức trên, đất sét ẩm và đất nhiễm mặn có độ dẫn điện cao nên làm giảm mạnh độ sâu xuyên của GPR. Bảng 2.1 liệt kê giá trị tham khảo của một số vật liệu.</w:t>
      </w:r>
    </w:p>
    <w:p>
      <w:pPr>
        <w:pStyle w:val="CaptionBang"/>
      </w:pPr>
      <w:bookmarkStart w:name="_Toc14" w:id="14"/>
      <w:r>
        <w:rPr>
          <w:b/>
          <w:bCs/>
        </w:rPr>
        <w:t xml:space="preserve">Bảng 2.1. </w:t>
      </w:r>
      <w:r>
        <w:t xml:space="preserve">Hằng số điện môi, độ dẫn điện và vận tốc sóng của một số vật liệu</w:t>
      </w:r>
      <w:bookmarkEnd w:id="14"/>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38"/>
        <w:gridCol w:w="1793"/>
        <w:gridCol w:w="2062"/>
        <w:gridCol w:w="1794"/>
      </w:tblGrid>
      <w:tr>
        <w:trPr>
          <w:tblHeader/>
        </w:trPr>
        <w:tc>
          <w:tcPr>
            <w:tcW w:type="dxa" w:w="313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Vật liệu</w:t>
            </w:r>
          </w:p>
        </w:tc>
        <w:tc>
          <w:tcPr>
            <w:tcW w:type="dxa" w:w="179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ε</w:t>
            </w:r>
            <w:r>
              <w:rPr>
                <w:b/>
                <w:bCs/>
                <w:vertAlign w:val="subscript"/>
              </w:rPr>
              <w:t xml:space="preserve">r</w:t>
            </w:r>
          </w:p>
        </w:tc>
        <w:tc>
          <w:tcPr>
            <w:tcW w:type="dxa" w:w="206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σ (mS/m)</w:t>
            </w:r>
          </w:p>
        </w:tc>
        <w:tc>
          <w:tcPr>
            <w:tcW w:type="dxa" w:w="179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 (m/ns)</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Không khí</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0,30</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Nước ngọt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80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0,5</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0,033</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Cát khô</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3–5</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0,15</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Cát bão hòa nước</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20–30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0,06</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Bột (silt)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5–30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1–100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0,07</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Sét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5–40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2–1000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0,06</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Đá vôi</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4–8</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0,5–2</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0,12</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Granit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4–6</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0,01–1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0,13</w:t>
            </w:r>
          </w:p>
        </w:tc>
      </w:tr>
    </w:tbl>
    <w:p>
      <w:pPr>
        <w:spacing w:after="120" w:before="0" w:line="240"/>
        <w:ind w:firstLine="0"/>
      </w:pPr>
    </w:p>
    <w:p>
      <w:pPr>
        <w:pStyle w:val="NguonBang"/>
      </w:pPr>
      <w:r>
        <w:t xml:space="preserve">Nguồn: tổng hợp từ </w:t>
      </w:r>
      <w:r>
        <w:t xml:space="preserve">[24, 25]</w:t>
      </w:r>
      <w:r>
        <w:t xml:space="preserve">.</w:t>
      </w:r>
    </w:p>
    <w:p>
      <w:pPr>
        <w:pStyle w:val="HuongDan"/>
      </w:pPr>
      <w:r>
        <w:rPr>
          <w:b/>
          <w:bCs/>
        </w:rPr>
        <w:t xml:space="preserve">► Hướng dẫn: </w:t>
      </w:r>
      <w:r>
        <w:t xml:space="preserve">Đối chiếu lại với bảng gốc trong tài liệu và bổ sung bê tông, nhựa đường, PVC nếu cần.</w:t>
      </w:r>
    </w:p>
    <w:p>
      <w:pPr>
        <w:pStyle w:val="Heading3"/>
      </w:pPr>
      <w:bookmarkStart w:name="_Toc15" w:id="15"/>
      <w:r>
        <w:t xml:space="preserve">2.1.2. Độ phân giải và độ sâu xuyên</w:t>
      </w:r>
      <w:bookmarkEnd w:id="15"/>
    </w:p>
    <w:p>
      <w:r>
        <w:t xml:space="preserve">Độ phân giải theo phương thẳng đứng, tức khoảng cách nhỏ nhất giữa hai mặt phản xạ mà GPR còn tách được, xấp xỉ một phần tư bước sóng trong môi trường </w:t>
      </w:r>
      <w:r>
        <w:t xml:space="preserve">[24, 25]</w:t>
      </w:r>
      <w:r>
        <w:t xml:space="preserve">:</w:t>
      </w:r>
    </w:p>
    <w:p>
      <w:pPr>
        <w:tabs>
          <w:tab w:val="center" w:pos="4394"/>
          <w:tab w:val="right" w:pos="8787"/>
        </w:tabs>
        <w:spacing w:after="60" w:before="60"/>
        <w:ind w:firstLine="0"/>
      </w:pPr>
      <w:r>
        <w:t xml:space="preserve">	</w:t>
      </w:r>
      <m:oMath>
        <m:r>
          <m:t>Δz≈</m:t>
        </m:r>
        <m:f>
          <m:num>
            <m:r>
              <m:t>λ</m:t>
            </m:r>
          </m:num>
          <m:den>
            <m:r>
              <m:t>4</m:t>
            </m:r>
          </m:den>
        </m:f>
        <m:r>
          <m:t>=</m:t>
        </m:r>
        <m:f>
          <m:num>
            <m:r>
              <m:t>v</m:t>
            </m:r>
          </m:num>
          <m:den>
            <m:r>
              <m:t>4</m:t>
            </m:r>
            <m:sSub>
              <m:sSubPr/>
              <m:e>
                <m:r>
                  <m:t>f</m:t>
                </m:r>
              </m:e>
              <m:sub>
                <m:r>
                  <m:t>c</m:t>
                </m:r>
              </m:sub>
            </m:sSub>
          </m:den>
        </m:f>
      </m:oMath>
      <w:r>
        <w:t xml:space="preserve">	(2.5)</w:t>
      </w:r>
    </w:p>
    <w:p>
      <w:r>
        <w:t xml:space="preserve">trong đó f</w:t>
      </w:r>
      <w:r>
        <w:rPr>
          <w:vertAlign w:val="subscript"/>
        </w:rPr>
        <w:t xml:space="preserve">c</w:t>
      </w:r>
      <w:r>
        <w:t xml:space="preserve"> là tần số trung tâm của anten. Độ phân giải theo phương ngang ở độ sâu d được ước lượng bằng bán kính đới Fresnel thứ nhất:</w:t>
      </w:r>
    </w:p>
    <w:p>
      <w:pPr>
        <w:tabs>
          <w:tab w:val="center" w:pos="4394"/>
          <w:tab w:val="right" w:pos="8787"/>
        </w:tabs>
        <w:spacing w:after="60" w:before="60"/>
        <w:ind w:firstLine="0"/>
      </w:pPr>
      <w:r>
        <w:t xml:space="preserve">	</w:t>
      </w:r>
      <m:oMath>
        <m:sSub>
          <m:sSubPr/>
          <m:e>
            <m:r>
              <m:t>r</m:t>
            </m:r>
          </m:e>
          <m:sub>
            <m:r>
              <m:t>F</m:t>
            </m:r>
          </m:sub>
        </m:sSub>
        <m:r>
          <m:t>≈</m:t>
        </m:r>
        <m:rad>
          <m:radPr>
            <m:degHide m:val="1"/>
          </m:radPr>
          <m:deg/>
          <m:e>
            <m:f>
              <m:num>
                <m:r>
                  <m:t>λd</m:t>
                </m:r>
              </m:num>
              <m:den>
                <m:r>
                  <m:t>2</m:t>
                </m:r>
              </m:den>
            </m:f>
          </m:e>
        </m:rad>
      </m:oMath>
      <w:r>
        <w:t xml:space="preserve">	(2.6)</w:t>
      </w:r>
    </w:p>
    <w:p>
      <w:r>
        <w:t xml:space="preserve">Như vậy, tần số càng cao thì phân giải càng tốt nhưng sóng suy giảm càng nhanh, nên độ sâu xuyên càng nhỏ. Việc chọn anten là sự cân bằng giữa độ sâu cần khảo sát và kích thước vật cần phát hiện (Bảng 2.2).</w:t>
      </w:r>
    </w:p>
    <w:p>
      <w:pPr>
        <w:pStyle w:val="CaptionBang"/>
      </w:pPr>
      <w:bookmarkStart w:name="_Toc16" w:id="16"/>
      <w:r>
        <w:rPr>
          <w:b/>
          <w:bCs/>
        </w:rPr>
        <w:t xml:space="preserve">Bảng 2.2. </w:t>
      </w:r>
      <w:r>
        <w:t xml:space="preserve">Gợi ý lựa chọn tần số anten GPR</w:t>
      </w:r>
      <w:bookmarkEnd w:id="16"/>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2636"/>
        <w:gridCol w:w="3955"/>
      </w:tblGrid>
      <w:tr>
        <w:trPr>
          <w:tblHeader/>
        </w:trPr>
        <w:tc>
          <w:tcPr>
            <w:tcW w:type="dxa" w:w="219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Tần số trung tâm</w:t>
            </w:r>
          </w:p>
        </w:tc>
        <w:tc>
          <w:tcPr>
            <w:tcW w:type="dxa" w:w="26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Độ sâu khảo sát điển hình</w:t>
            </w:r>
          </w:p>
        </w:tc>
        <w:tc>
          <w:tcPr>
            <w:tcW w:type="dxa" w:w="39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Đối tượng phù hợp</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100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đến vài mét</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Cống lớn, hốc rỗng sâu, địa tầng</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250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khoảng 0,5–3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nước, cống, cáp chôn sâu</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500–700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khoảng 0,2–2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Cáp điện, ống nhỏ ở tầng nông</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1–2 GHz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dưới 0,5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Cốt thép, ống trong bê tông</w:t>
            </w:r>
          </w:p>
        </w:tc>
      </w:tr>
    </w:tbl>
    <w:p>
      <w:pPr>
        <w:spacing w:after="120" w:before="0" w:line="240"/>
        <w:ind w:firstLine="0"/>
      </w:pPr>
    </w:p>
    <w:p>
      <w:pPr>
        <w:pStyle w:val="NguonBang"/>
      </w:pPr>
      <w:r>
        <w:t xml:space="preserve">Ghi chú: giá trị tham khảo, phụ thuộc mạnh vào độ dẫn điện của đất. Nhóm Vật lý Địa cầu (HCMUS) dùng anten 700 MHz cho dị vật ở độ sâu đến 2 m </w:t>
      </w:r>
      <w:r>
        <w:t xml:space="preserve">[19]</w:t>
      </w:r>
      <w:r>
        <w:t xml:space="preserve">.</w:t>
      </w:r>
    </w:p>
    <w:p>
      <w:pPr>
        <w:pStyle w:val="Heading2"/>
      </w:pPr>
      <w:bookmarkStart w:name="_Toc17" w:id="17"/>
      <w:r>
        <w:t xml:space="preserve">2.2. Khái niệm, phương pháp</w:t>
      </w:r>
      <w:bookmarkEnd w:id="17"/>
    </w:p>
    <w:p>
      <w:pPr>
        <w:pStyle w:val="Heading3"/>
      </w:pPr>
      <w:bookmarkStart w:name="_Toc18" w:id="18"/>
      <w:r>
        <w:t xml:space="preserve">2.2.1. Nguyên lý và hệ thiết bị GPR</w:t>
      </w:r>
      <w:bookmarkEnd w:id="18"/>
    </w:p>
    <w:p>
      <w:r>
        <w:t xml:space="preserve">GPR hoạt động tương tự phương pháp siêu âm xung – phản hồi trong NDT, nhưng dùng xung sóng điện từ thay cho sóng âm. Một hệ GPR gồm khối điều khiển, anten phát (Tx), anten thu (Rx) và bộ đo khoảng cách (bánh xe hoặc GNSS). Anten phát phát xung có tần số trung tâm từ khoảng 10 MHz đến vài GHz vào đất. Anten thu ghi lại sóng phản xạ từ các mặt phân cách và vật thể </w:t>
      </w:r>
      <w:r>
        <w:t xml:space="preserve">[12, 24]</w:t>
      </w:r>
      <w:r>
        <w:t xml:space="preserve">.</w:t>
      </w: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Sơ đồ nguyên lý hệ GPR: khối điều khiển, anten Tx/Rx, bánh xe đo khoảng cách, đường truyền sóng tới vật ngầm</w:t>
      </w:r>
      <w:r>
        <w:br/>
        <w:t xml:space="preserve"/>
      </w:r>
      <w:r>
        <w:br/>
        <w:t xml:space="preserve"/>
      </w:r>
      <w:r>
        <w:br/>
        <w:t xml:space="preserve"/>
      </w:r>
      <w:r>
        <w:br/>
        <w:t xml:space="preserve"/>
      </w:r>
    </w:p>
    <w:p>
      <w:pPr>
        <w:pStyle w:val="CaptionHinh"/>
      </w:pPr>
      <w:bookmarkStart w:name="_Toc19" w:id="19"/>
      <w:r>
        <w:rPr>
          <w:b/>
          <w:bCs/>
        </w:rPr>
        <w:t xml:space="preserve">Hình 2.1. </w:t>
      </w:r>
      <w:r>
        <w:t xml:space="preserve">Sơ đồ nguyên lý của phương pháp GPR</w:t>
      </w:r>
      <w:bookmarkEnd w:id="19"/>
    </w:p>
    <w:p>
      <w:r>
        <w:t xml:space="preserve">Dữ liệu GPR có ba dạng. </w:t>
      </w:r>
      <w:r>
        <w:rPr>
          <w:b/>
          <w:bCs/>
        </w:rPr>
        <w:t xml:space="preserve">A-scan</w:t>
      </w:r>
      <w:r>
        <w:t xml:space="preserve"> là một vết ghi biên độ theo thời gian tại một vị trí. </w:t>
      </w:r>
      <w:r>
        <w:rPr>
          <w:b/>
          <w:bCs/>
        </w:rPr>
        <w:t xml:space="preserve">B-scan</w:t>
      </w:r>
      <w:r>
        <w:t xml:space="preserve"> (radargram) là mặt cắt thẳng đứng, ghép từ các A-scan liên tiếp dọc theo tuyến đo. </w:t>
      </w:r>
      <w:r>
        <w:rPr>
          <w:b/>
          <w:bCs/>
        </w:rPr>
        <w:t xml:space="preserve">C-scan</w:t>
      </w:r>
      <w:r>
        <w:t xml:space="preserve"> là ảnh mặt bằng ở một độ sâu, cắt ra từ nhiều B-scan song song </w:t>
      </w:r>
      <w:r>
        <w:t xml:space="preserve">[3]</w:t>
      </w:r>
      <w:r>
        <w:t xml:space="preserve">.</w:t>
      </w:r>
    </w:p>
    <w:p>
      <w:pPr>
        <w:pStyle w:val="Heading3"/>
      </w:pPr>
      <w:bookmarkStart w:name="_Toc20" w:id="20"/>
      <w:r>
        <w:t xml:space="preserve">2.2.2. Hyperbol phản xạ và xác định vận tốc sóng</w:t>
      </w:r>
      <w:bookmarkEnd w:id="20"/>
    </w:p>
    <w:p>
      <w:r>
        <w:t xml:space="preserve">Anten phát ra chùm sóng có góc mở rộng. Vì vậy, khi anten di chuyển qua một vật hình trụ nằm vuông góc với tuyến đo (cáp, ống), vật được "nhìn thấy" từ cả trước và sau khi anten đi qua. Thời gian truyền hai chiều thay đổi theo vị trí x và vẽ thành một đường hyperbol:</w:t>
      </w:r>
    </w:p>
    <w:p>
      <w:pPr>
        <w:tabs>
          <w:tab w:val="center" w:pos="4394"/>
          <w:tab w:val="right" w:pos="8787"/>
        </w:tabs>
        <w:spacing w:after="60" w:before="60"/>
        <w:ind w:firstLine="0"/>
      </w:pPr>
      <w:r>
        <w:t xml:space="preserve">	</w:t>
      </w:r>
      <m:oMath>
        <m:r>
          <m:t>t</m:t>
        </m:r>
        <m:r>
          <m:t>(</m:t>
        </m:r>
        <m:r>
          <m:t>x</m:t>
        </m:r>
        <m:r>
          <m:t>)=</m:t>
        </m:r>
        <m:f>
          <m:num>
            <m:r>
              <m:t>2</m:t>
            </m:r>
          </m:num>
          <m:den>
            <m:r>
              <m:t>v</m:t>
            </m:r>
          </m:den>
        </m:f>
        <m:rad>
          <m:radPr>
            <m:degHide m:val="1"/>
          </m:radPr>
          <m:deg/>
          <m:e>
            <m:r>
              <m:t>(</m:t>
            </m:r>
            <m:r>
              <m:t>x−</m:t>
            </m:r>
            <m:sSub>
              <m:sSubPr/>
              <m:e>
                <m:r>
                  <m:t>x</m:t>
                </m:r>
              </m:e>
              <m:sub>
                <m:r>
                  <m:t>0</m:t>
                </m:r>
              </m:sub>
            </m:sSub>
            <m:r>
              <m:t>)²+(d+R)²</m:t>
            </m:r>
          </m:e>
        </m:rad>
        <m:r>
          <m:t>−</m:t>
        </m:r>
        <m:f>
          <m:num>
            <m:r>
              <m:t>2R</m:t>
            </m:r>
          </m:num>
          <m:den>
            <m:r>
              <m:t>v</m:t>
            </m:r>
          </m:den>
        </m:f>
      </m:oMath>
      <w:r>
        <w:t xml:space="preserve">	(2.7)</w:t>
      </w:r>
    </w:p>
    <w:p>
      <w:r>
        <w:t xml:space="preserve">trong đó x</w:t>
      </w:r>
      <w:r>
        <w:rPr>
          <w:vertAlign w:val="subscript"/>
        </w:rPr>
        <w:t xml:space="preserve">0</w:t>
      </w:r>
      <w:r>
        <w:t xml:space="preserve"> là vị trí ngay trên vật, d là độ sâu tới đỉnh vật và R là bán kính vật. Đỉnh hyperbol cho vị trí ngang của vật. Độ mở của hyperbol phụ thuộc vận tốc v: môi trường có v càng lớn thì hyperbol càng mở rộng (Hình 2.2).</w:t>
      </w:r>
    </w:p>
    <w:p>
      <w:pPr>
        <w:keepNext/>
        <w:spacing w:after="60" w:before="120"/>
        <w:ind w:firstLine="0"/>
        <w:jc w:val="center"/>
      </w:pPr>
      <w:r>
        <w:drawing>
          <wp:inline distT="0" distB="0" distL="0" distR="0">
            <wp:extent cx="5219700" cy="2962275"/>
            <wp:effectExtent t="0" r="0" b="0" l="0"/>
            <wp:docPr id="1" name="Hinh2_2_hyperbol_van_toc.png" descr="Hinh2_2_hyperbol_van_toc.png" title="Hinh2_2_hyperbol_van_t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2962275"/>
                    </a:xfrm>
                    <a:prstGeom prst="rect">
                      <a:avLst/>
                    </a:prstGeom>
                  </pic:spPr>
                </pic:pic>
              </a:graphicData>
            </a:graphic>
          </wp:inline>
        </w:drawing>
      </w:r>
    </w:p>
    <w:p>
      <w:pPr>
        <w:pStyle w:val="CaptionHinh"/>
      </w:pPr>
      <w:bookmarkStart w:name="_Toc21" w:id="21"/>
      <w:r>
        <w:rPr>
          <w:b/>
          <w:bCs/>
        </w:rPr>
        <w:t xml:space="preserve">Hình 2.2. </w:t>
      </w:r>
      <w:r>
        <w:t xml:space="preserve">Hyperbol thời gian truyền của vật hình trụ (d = 0,5 m; R = 0,05 m) ứng với ba vận tốc sóng khác nhau</w:t>
      </w:r>
      <w:bookmarkEnd w:id="21"/>
    </w:p>
    <w:p>
      <w:r>
        <w:t xml:space="preserve">Vận tốc v phải được xác định trước khi đổi thời gian ra độ sâu theo công thức (2.2). Các cách thường dùng là:</w:t>
      </w:r>
    </w:p>
    <w:p>
      <w:pPr>
        <w:pStyle w:val="ListParagraph"/>
        <w:numPr>
          <w:ilvl w:val="0"/>
          <w:numId w:val="2"/>
        </w:numPr>
      </w:pPr>
      <w:r>
        <w:rPr>
          <w:b/>
          <w:bCs/>
        </w:rPr>
        <w:t xml:space="preserve">Khớp hyperbol:</w:t>
      </w:r>
      <w:r>
        <w:t xml:space="preserve"> khớp các điểm trên hyperbol theo công thức (2.7) để tìm đồng thời v, d và ε</w:t>
      </w:r>
      <w:r>
        <w:rPr>
          <w:vertAlign w:val="subscript"/>
        </w:rPr>
        <w:t xml:space="preserve">r</w:t>
      </w:r>
      <w:r>
        <w:t xml:space="preserve"> </w:t>
      </w:r>
      <w:r>
        <w:t xml:space="preserve">[9, 17]</w:t>
      </w:r>
      <w:r>
        <w:t xml:space="preserve">;</w:t>
      </w:r>
    </w:p>
    <w:p>
      <w:pPr>
        <w:pStyle w:val="ListParagraph"/>
        <w:numPr>
          <w:ilvl w:val="0"/>
          <w:numId w:val="2"/>
        </w:numPr>
      </w:pPr>
      <w:r>
        <w:rPr>
          <w:b/>
          <w:bCs/>
        </w:rPr>
        <w:t xml:space="preserve">Đồ thị năng lượng hoặc entropy sau dịch chuyển:</w:t>
      </w:r>
      <w:r>
        <w:t xml:space="preserve"> chọn vận tốc làm hyperbol hội tụ tốt nhất về một điểm </w:t>
      </w:r>
      <w:r>
        <w:t xml:space="preserve">[16, 18]</w:t>
      </w:r>
      <w:r>
        <w:t xml:space="preserve">;</w:t>
      </w:r>
    </w:p>
    <w:p>
      <w:pPr>
        <w:pStyle w:val="ListParagraph"/>
        <w:numPr>
          <w:ilvl w:val="0"/>
          <w:numId w:val="2"/>
        </w:numPr>
      </w:pPr>
      <w:r>
        <w:rPr>
          <w:b/>
          <w:bCs/>
        </w:rPr>
        <w:t xml:space="preserve">Vật đã biết độ sâu:</w:t>
      </w:r>
      <w:r>
        <w:t xml:space="preserve"> đo trên một vật có độ sâu đã biết (ví dụ nắp hố ga, ống đã đào lộ) để hiệu chỉnh v.</w:t>
      </w:r>
    </w:p>
    <w:p>
      <w:r>
        <w:t xml:space="preserve">Sau khi biết v, có thể xác định độ sâu và ε</w:t>
      </w:r>
      <w:r>
        <w:rPr>
          <w:vertAlign w:val="subscript"/>
        </w:rPr>
        <w:t xml:space="preserve">r</w:t>
      </w:r>
      <w:r>
        <w:t xml:space="preserve"> của đất, rồi dựa vào pha của tín hiệu phản xạ (mục 2.1.1) để phân biệt cáp kim loại với ống phi kim </w:t>
      </w:r>
      <w:r>
        <w:t xml:space="preserve">[20]</w:t>
      </w:r>
      <w:r>
        <w:t xml:space="preserve">. Đây là cơ sở cho phần mô phỏng và khảo sát thực tế của đề tài.</w:t>
      </w:r>
    </w:p>
    <w:p>
      <w:pPr>
        <w:pStyle w:val="Heading1"/>
        <w:pageBreakBefore/>
      </w:pPr>
      <w:bookmarkStart w:name="_Toc22" w:id="22"/>
      <w:r>
        <w:t xml:space="preserve">TÀI LIỆU THAM KHẢO</w:t>
      </w:r>
      <w:bookmarkEnd w:id="22"/>
    </w:p>
    <w:p>
      <w:pPr>
        <w:pStyle w:val="HuongDan"/>
      </w:pPr>
      <w:r>
        <w:rPr>
          <w:b/>
          <w:bCs/>
        </w:rPr>
        <w:t xml:space="preserve">► Hướng dẫn: </w:t>
      </w:r>
      <w:r>
        <w:t xml:space="preserve">Trích dẫn dạng số [1], [2]… theo thứ tự xuất hiện. Mẫu bài báo: Họ tên tác giả (năm). Tên bài báo, Tên tạp chí, Số, Trang, doi. Từ 3 tác giả trở lên: ghi tác giả đầu + "và cộng sự" (tài liệu tiếng Việt) hoặc "et al." (tài liệu tiếng Anh). Danh mục dưới đây đã sắp đúng thứ tự trích dẫn của bản mẫu; nếu thêm hoặc bớt trích dẫn, phải đánh số lại.</w:t>
      </w:r>
    </w:p>
    <w:p>
      <w:pPr>
        <w:pStyle w:val="TaiLieu"/>
      </w:pPr>
      <w:r>
        <w:t xml:space="preserve">[1]	</w:t>
      </w:r>
      <w:r>
        <w:t xml:space="preserve">Nguyễn Thành Vấn và cộng sự (2018). Phần mềm xử lý dữ liệu ra đa xuyên đất GPRTVN, Tạp chí Phát triển Khoa học &amp; Công nghệ – Chuyên san Khoa học Tự nhiên, 2(5), 97–104, doi: 10.32508/stdjns.v2i5.784</w:t>
      </w:r>
    </w:p>
    <w:p>
      <w:pPr>
        <w:pStyle w:val="TaiLieu"/>
      </w:pPr>
      <w:r>
        <w:t xml:space="preserve">[2]	</w:t>
      </w:r>
      <w:r>
        <w:t xml:space="preserve">Chính phủ nước CHXHCN Việt Nam (2010). Nghị định số 39/2010/NĐ-CP về quản lý không gian xây dựng ngầm đô thị</w:t>
      </w:r>
    </w:p>
    <w:p>
      <w:pPr>
        <w:pStyle w:val="TaiLieu"/>
      </w:pPr>
      <w:r>
        <w:t xml:space="preserve">[3]	</w:t>
      </w:r>
      <w:r>
        <w:t xml:space="preserve">Lai W.W.-L. et al. (2018). A review of Ground Penetrating Radar application in civil engineering: A 30-year journey from Locating and Testing to Imaging and Diagnosis, NDT &amp; E International, 96, 58–78, doi: 10.1016/j.ndteint.2017.04.002</w:t>
      </w:r>
    </w:p>
    <w:p>
      <w:pPr>
        <w:pStyle w:val="TaiLieu"/>
      </w:pPr>
      <w:r>
        <w:t xml:space="preserve">[4]	</w:t>
      </w:r>
      <w:r>
        <w:t xml:space="preserve">Metje N. et al. (2007). Mapping the Underworld – State-of-the-art review, Tunnelling and Underground Space Technology, 22(5–6), 568–586, doi: 10.1016/j.tust.2007.04.002</w:t>
      </w:r>
    </w:p>
    <w:p>
      <w:pPr>
        <w:pStyle w:val="TaiLieu"/>
      </w:pPr>
      <w:r>
        <w:t xml:space="preserve">[5]	</w:t>
      </w:r>
      <w:r>
        <w:t xml:space="preserve">Warren C. et al. (2016). gprMax: Open source software to simulate electromagnetic wave propagation for Ground Penetrating Radar, Computer Physics Communications, 209, 163–170, doi: 10.1016/j.cpc.2016.08.020</w:t>
      </w:r>
    </w:p>
    <w:p>
      <w:pPr>
        <w:pStyle w:val="TaiLieu"/>
      </w:pPr>
      <w:r>
        <w:t xml:space="preserve">[6]	</w:t>
      </w:r>
      <w:r>
        <w:t xml:space="preserve">Peters L. et al. (1994). Ground penetrating radar as a subsurface environmental sensing tool, Proceedings of the IEEE, 82(12), 1802–1822, doi: 10.1109/5.338072</w:t>
      </w:r>
    </w:p>
    <w:p>
      <w:pPr>
        <w:pStyle w:val="TaiLieu"/>
      </w:pPr>
      <w:r>
        <w:t xml:space="preserve">[7]	</w:t>
      </w:r>
      <w:r>
        <w:t xml:space="preserve">Royal A.C.D. et al. (2011). Site assessment of multiple-sensor approaches for buried utility detection, International Journal of Geophysics, 2011, 1–19, doi: 10.1155/2011/496123</w:t>
      </w:r>
    </w:p>
    <w:p>
      <w:pPr>
        <w:pStyle w:val="TaiLieu"/>
      </w:pPr>
      <w:r>
        <w:t xml:space="preserve">[8]	</w:t>
      </w:r>
      <w:r>
        <w:t xml:space="preserve">Al-Nuaimy W. et al. (2000). Automatic detection of buried utilities and solid objects with GPR using neural networks and pattern recognition, Journal of Applied Geophysics, 43(2–4), 157–165, doi: 10.1016/S0926-9851(99)00055-5</w:t>
      </w:r>
    </w:p>
    <w:p>
      <w:pPr>
        <w:pStyle w:val="TaiLieu"/>
      </w:pPr>
      <w:r>
        <w:t xml:space="preserve">[9]	</w:t>
      </w:r>
      <w:r>
        <w:t xml:space="preserve">Lei W. et al. (2019). Automatic hyperbola detection and fitting in GPR B-scan image, Automation in Construction, 106, 102839, doi: 10.1016/j.autcon.2019.102839</w:t>
      </w:r>
    </w:p>
    <w:p>
      <w:pPr>
        <w:pStyle w:val="TaiLieu"/>
      </w:pPr>
      <w:r>
        <w:t xml:space="preserve">[10]	</w:t>
      </w:r>
      <w:r>
        <w:t xml:space="preserve">Tong Z. et al. (2020). Advances of deep learning applications in ground-penetrating radar: A survey, Construction and Building Materials, 258, 120371, doi: 10.1016/j.conbuildmat.2020.120371</w:t>
      </w:r>
    </w:p>
    <w:p>
      <w:pPr>
        <w:pStyle w:val="TaiLieu"/>
      </w:pPr>
      <w:r>
        <w:t xml:space="preserve">[11]	</w:t>
      </w:r>
      <w:r>
        <w:t xml:space="preserve">Giannopoulos A. (2005). Modelling ground penetrating radar by GprMax, Construction and Building Materials, 19(10), 755–762, doi: 10.1016/j.conbuildmat.2005.06.007</w:t>
      </w:r>
    </w:p>
    <w:p>
      <w:pPr>
        <w:pStyle w:val="TaiLieu"/>
      </w:pPr>
      <w:r>
        <w:t xml:space="preserve">[12]	</w:t>
      </w:r>
      <w:r>
        <w:t xml:space="preserve">ASTM International (2019). ASTM D6432-19: Standard Guide for Using the Surface Ground Penetrating Radar Method for Subsurface Investigation, West Conshohocken, PA</w:t>
      </w:r>
    </w:p>
    <w:p>
      <w:pPr>
        <w:pStyle w:val="TaiLieu"/>
      </w:pPr>
      <w:r>
        <w:t xml:space="preserve">[13]	</w:t>
      </w:r>
      <w:r>
        <w:t xml:space="preserve">British Standards Institution (2022). PAS 128:2022 Underground utility detection, verification and location – Specification, BSI, London</w:t>
      </w:r>
    </w:p>
    <w:p>
      <w:pPr>
        <w:pStyle w:val="TaiLieu"/>
      </w:pPr>
      <w:r>
        <w:t xml:space="preserve">[14]	</w:t>
      </w:r>
      <w:r>
        <w:t xml:space="preserve">American Society of Civil Engineers (2022). ASCE/UESI/CI 38-22: Standard Guideline for Investigating and Documenting Existing Utilities, ASCE, Reston, VA</w:t>
      </w:r>
    </w:p>
    <w:p>
      <w:pPr>
        <w:pStyle w:val="TaiLieu"/>
      </w:pPr>
      <w:r>
        <w:t xml:space="preserve">[15]	</w:t>
      </w:r>
      <w:r>
        <w:t xml:space="preserve">Thitimakorn T. et al. (2016). Subsurface void detection under the road surface using ground penetrating radar (GPR), a case study in the Bangkok metropolitan area, Thailand, International Journal of Geo-Engineering, 7, 2, doi: 10.1186/s40703-016-0017-8</w:t>
      </w:r>
    </w:p>
    <w:p>
      <w:pPr>
        <w:pStyle w:val="TaiLieu"/>
      </w:pPr>
      <w:r>
        <w:t xml:space="preserve">[16]	</w:t>
      </w:r>
      <w:r>
        <w:t xml:space="preserve">Nguyen Thuan Van, Le Cuong Van Anh (2021). Energy difference of high frequency electromagnetic waves amplitude in detecting buried objects at Ho Chi Minh City, Vietnam, VNUHCM Journal of Advanced Research in Natural Sciences, 5(1), 925–932, doi: 10.32508/stdjns.v5i1.923</w:t>
      </w:r>
    </w:p>
    <w:p>
      <w:pPr>
        <w:pStyle w:val="TaiLieu"/>
      </w:pPr>
      <w:r>
        <w:t xml:space="preserve">[17]	</w:t>
      </w:r>
      <w:r>
        <w:t xml:space="preserve">Nguyen Thuan Van et al. (2018). Energy analysis in semiautomatic and automatic velocity estimation for ground penetrating radar data in urban areas: Case study in Ho Chi Minh City, Vietnam, Advances and Applications in Geospatial Technology and Earth Resources, Springer, 34–51, doi: 10.1007/978-3-319-68240-2_3</w:t>
      </w:r>
    </w:p>
    <w:p>
      <w:pPr>
        <w:pStyle w:val="TaiLieu"/>
      </w:pPr>
      <w:r>
        <w:t xml:space="preserve">[18]	</w:t>
      </w:r>
      <w:r>
        <w:t xml:space="preserve">Nguyen Thanh Van et al. (2017). Researching migration methods, entropy and energy diagram to process ground penetrating radar data, Tạp chí Khoa học và Công nghệ Biển, 17(4B), 167–174, doi: 10.15625/1859-3097/17/4b/13005</w:t>
      </w:r>
    </w:p>
    <w:p>
      <w:pPr>
        <w:pStyle w:val="TaiLieu"/>
      </w:pPr>
      <w:r>
        <w:t xml:space="preserve">[19]	</w:t>
      </w:r>
      <w:r>
        <w:t xml:space="preserve">Dang Duy Hoang et al. (2020). Data analysis of two-dimensional ground penetration radar profiles in three-dimensional space to study of underground objects, Science and Technology Development Journal – Natural Sciences, 3(3), 169–179, doi: 10.32508/stdjns.v3i3.720</w:t>
      </w:r>
    </w:p>
    <w:p>
      <w:pPr>
        <w:pStyle w:val="TaiLieu"/>
      </w:pPr>
      <w:r>
        <w:t xml:space="preserve">[20]	</w:t>
      </w:r>
      <w:r>
        <w:t xml:space="preserve">Dang Duy Hoang et al. (2023). The workflow of ground penetrating radar data analysis based on maximum energy difference steering, Inżynieria Mineralna, 2023(1), doi: 10.29227/im-2023-01-25</w:t>
      </w:r>
    </w:p>
    <w:p>
      <w:pPr>
        <w:pStyle w:val="TaiLieu"/>
      </w:pPr>
      <w:r>
        <w:t xml:space="preserve">[21]	</w:t>
      </w:r>
      <w:r>
        <w:t xml:space="preserve">Tin D.Q.C., Dau D.H. (2016). Data processing for ground penetrating radar using the continuous wavelet transform, Can Tho University Journal of Science, 3, 85, doi: 10.22144/ctu.jen.2016.028</w:t>
      </w:r>
    </w:p>
    <w:p>
      <w:pPr>
        <w:pStyle w:val="TaiLieu"/>
      </w:pPr>
      <w:r>
        <w:t xml:space="preserve">[22]	</w:t>
      </w:r>
      <w:r>
        <w:t xml:space="preserve">Đỗ Minh Tính (2021). Sử dụng công nghệ radar xuyên đất trong công tác khảo sát địa kỹ thuật. Lấy ví dụ cho một số dự án điển hình, Tạp chí Xây dựng, số 06/2021, https://vjol.info.vn/tcxd/article/view/58639, truy cập ngày 07/10/2026</w:t>
      </w:r>
    </w:p>
    <w:p>
      <w:pPr>
        <w:pStyle w:val="TaiLieu"/>
      </w:pPr>
      <w:r>
        <w:t xml:space="preserve">[23]	</w:t>
      </w:r>
      <w:r>
        <w:t xml:space="preserve">Solla M. et al. (2021). A review of GPR application on transport infrastructures: Troubleshooting and best practices, Remote Sensing, 13(4), 672, doi: 10.3390/rs13040672</w:t>
      </w:r>
    </w:p>
    <w:p>
      <w:pPr>
        <w:pStyle w:val="TaiLieu"/>
      </w:pPr>
      <w:r>
        <w:t xml:space="preserve">[24]	</w:t>
      </w:r>
      <w:r>
        <w:t xml:space="preserve">Daniels D.J. (chủ biên) (2004). Ground Penetrating Radar, 2nd ed., The Institution of Engineering and Technology, London, doi: 10.1049/PBRA015E</w:t>
      </w:r>
    </w:p>
    <w:p>
      <w:pPr>
        <w:pStyle w:val="TaiLieu"/>
      </w:pPr>
      <w:r>
        <w:t xml:space="preserve">[25]	</w:t>
      </w:r>
      <w:r>
        <w:t xml:space="preserve">Jol H.M. (chủ biên) (2009). Ground Penetrating Radar: Theory and Applications, Elsevier, Amsterdam</w:t>
      </w:r>
    </w:p>
    <w:sectPr>
      <w:footerReference w:type="default" r:id="rId7"/>
      <w:type w:val="nextPage"/>
      <w:pgSz w:w="11906" w:h="16838" w:orient="portrait"/>
      <w:pgMar w:top="1985" w:right="1134" w:bottom="1701" w:left="1985" w:header="851" w:footer="851"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09" w:hanging="284"/>
      </w:pPr>
    </w:lvl>
  </w:abstractNum>
  <w:abstractNum w:abstractNumId="3" w15:restartNumberingAfterBreak="0">
    <w:multiLevelType w:val="hybridMultilevel"/>
    <w:lvl w:ilvl="0" w: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60"/>
      </w:pPr>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360"/>
      <w:ind w:firstLine="567"/>
      <w:jc w:val="both"/>
    </w:pPr>
    <w:rPr>
      <w:rFonts w:ascii="Times New Roman" w:cs="Times New Roman" w:eastAsia="Times New Roman" w:hAnsi="Times New Roman"/>
      <w:sz w:val="26"/>
      <w:szCs w:val="26"/>
    </w:rPr>
  </w:style>
  <w:style w:type="paragraph" w:styleId="Heading1">
    <w:name w:val="Heading 1"/>
    <w:basedOn w:val="Normal"/>
    <w:next w:val="Normal"/>
    <w:qFormat/>
    <w:pPr>
      <w:keepNext/>
      <w:spacing w:after="360" w:before="0"/>
      <w:ind w:firstLine="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keepNext/>
      <w:spacing w:after="120" w:before="200"/>
      <w:ind w:firstLine="0"/>
      <w:jc w:val="left"/>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after="100" w:before="160"/>
      <w:ind w:firstLine="0"/>
      <w:jc w:val="left"/>
      <w:outlineLvl w:val="2"/>
    </w:pPr>
    <w:rPr>
      <w:rFonts w:ascii="Times New Roman" w:cs="Times New Roman" w:eastAsia="Times New Roman" w:hAnsi="Times New Roman"/>
      <w:b/>
      <w:bCs/>
      <w:i/>
      <w:iCs/>
      <w:sz w:val="26"/>
      <w:szCs w:val="26"/>
    </w:rPr>
  </w:style>
  <w:style w:type="paragraph" w:styleId="TieuDeKhongMuc">
    <w:name w:val="TieuDeKhongMuc"/>
    <w:basedOn w:val="Normal"/>
    <w:next w:val="Normal"/>
    <w:pPr>
      <w:spacing w:after="360"/>
      <w:ind w:firstLine="0"/>
      <w:jc w:val="center"/>
    </w:pPr>
    <w:rPr>
      <w:rFonts w:ascii="Times New Roman" w:cs="Times New Roman" w:eastAsia="Times New Roman" w:hAnsi="Times New Roman"/>
      <w:b/>
      <w:bCs/>
      <w:sz w:val="28"/>
      <w:szCs w:val="28"/>
    </w:rPr>
  </w:style>
  <w:style w:type="paragraph" w:styleId="CaptionHinh">
    <w:name w:val="CaptionHinh"/>
    <w:basedOn w:val="Normal"/>
    <w:next w:val="Normal"/>
    <w:pPr>
      <w:spacing w:after="200" w:before="60" w:line="300"/>
      <w:ind w:firstLine="0"/>
      <w:jc w:val="center"/>
    </w:pPr>
    <w:rPr>
      <w:rFonts w:ascii="Times New Roman" w:cs="Times New Roman" w:eastAsia="Times New Roman" w:hAnsi="Times New Roman"/>
      <w:sz w:val="24"/>
      <w:szCs w:val="24"/>
    </w:rPr>
  </w:style>
  <w:style w:type="paragraph" w:styleId="CaptionBang">
    <w:name w:val="CaptionBang"/>
    <w:basedOn w:val="Normal"/>
    <w:next w:val="Normal"/>
    <w:pPr>
      <w:keepNext/>
      <w:spacing w:after="80" w:before="160" w:line="300"/>
      <w:ind w:firstLine="0"/>
      <w:jc w:val="center"/>
    </w:pPr>
    <w:rPr>
      <w:rFonts w:ascii="Times New Roman" w:cs="Times New Roman" w:eastAsia="Times New Roman" w:hAnsi="Times New Roman"/>
      <w:sz w:val="24"/>
      <w:szCs w:val="24"/>
    </w:rPr>
  </w:style>
  <w:style w:type="paragraph" w:styleId="TrongBang">
    <w:name w:val="TrongBang"/>
    <w:basedOn w:val="Normal"/>
    <w:pPr>
      <w:spacing w:after="0" w:line="264"/>
      <w:ind w:firstLine="0"/>
    </w:pPr>
    <w:rPr>
      <w:rFonts w:ascii="Times New Roman" w:cs="Times New Roman" w:eastAsia="Times New Roman" w:hAnsi="Times New Roman"/>
      <w:sz w:val="24"/>
      <w:szCs w:val="24"/>
    </w:rPr>
  </w:style>
  <w:style w:type="paragraph" w:styleId="NguonBang">
    <w:name w:val="NguonBang"/>
    <w:basedOn w:val="Normal"/>
    <w:next w:val="Normal"/>
    <w:pPr>
      <w:spacing w:after="160" w:before="60" w:line="276"/>
      <w:ind w:firstLine="0"/>
    </w:pPr>
    <w:rPr>
      <w:rFonts w:ascii="Times New Roman" w:cs="Times New Roman" w:eastAsia="Times New Roman" w:hAnsi="Times New Roman"/>
      <w:i/>
      <w:iCs/>
      <w:sz w:val="22"/>
      <w:szCs w:val="22"/>
    </w:rPr>
  </w:style>
  <w:style w:type="paragraph" w:styleId="HuongDan">
    <w:name w:val="HuongDan"/>
    <w:basedOn w:val="Normal"/>
    <w:next w:val="Normal"/>
    <w:pPr>
      <w:spacing w:after="120" w:line="276"/>
      <w:ind w:firstLine="0"/>
    </w:pPr>
    <w:rPr>
      <w:rFonts w:ascii="Times New Roman" w:cs="Times New Roman" w:eastAsia="Times New Roman" w:hAnsi="Times New Roman"/>
      <w:i/>
      <w:iCs/>
      <w:color w:val="7F7F7F"/>
      <w:sz w:val="22"/>
      <w:szCs w:val="22"/>
    </w:rPr>
  </w:style>
  <w:style w:type="paragraph" w:styleId="TaiLieu">
    <w:name w:val="TaiLieu"/>
    <w:basedOn w:val="Normal"/>
    <w:pPr>
      <w:tabs>
        <w:tab w:val="left" w:pos="567"/>
      </w:tabs>
      <w:spacing w:after="100" w:line="312"/>
      <w:ind w:left="567" w:hanging="567"/>
      <w:jc w:val="left"/>
    </w:pPr>
    <w:rPr>
      <w:rFonts w:ascii="Times New Roman" w:cs="Times New Roman" w:eastAsia="Times New Roman" w:hAnsi="Times New Roman"/>
      <w:sz w:val="26"/>
      <w:szCs w:val="26"/>
    </w:rPr>
  </w:style>
  <w:style w:type="paragraph" w:styleId="MaNguon">
    <w:name w:val="MaNguon"/>
    <w:basedOn w:val="Normal"/>
    <w:pPr>
      <w:spacing w:after="0" w:line="240"/>
      <w:ind w:firstLine="0"/>
      <w:jc w:val="left"/>
    </w:pPr>
    <w:rPr>
      <w:rFonts w:ascii="Courier New" w:cs="Courier New" w:eastAsia="Courier New" w:hAnsi="Courier New"/>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342cf59c88ee3ffd40ae5d05ae112846b94643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GPR trong khảo sát hệ thống cáp và công trình ngầm</dc:title>
  <dc:creator>Nhóm seminar NDT</dc:creator>
  <dc:description>Mẫu báo cáo seminar – HCMUS</dc:description>
  <cp:lastModifiedBy>Un-named</cp:lastModifiedBy>
  <cp:revision>1</cp:revision>
  <dcterms:created xsi:type="dcterms:W3CDTF">2026-10-07T16:47:32.173Z</dcterms:created>
  <dcterms:modified xsi:type="dcterms:W3CDTF">2026-10-07T16:47:32.179Z</dcterms:modified>
</cp:coreProperties>
</file>

<file path=docProps/custom.xml><?xml version="1.0" encoding="utf-8"?>
<Properties xmlns="http://schemas.openxmlformats.org/officeDocument/2006/custom-properties" xmlns:vt="http://schemas.openxmlformats.org/officeDocument/2006/docPropsVTypes"/>
</file>