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7FB6" w:rsidRDefault="00417FB6" w:rsidP="00C07240">
      <w:pPr>
        <w:contextualSpacing/>
      </w:pPr>
    </w:p>
    <w:p w:rsidR="00417FB6" w:rsidRDefault="00417FB6" w:rsidP="00C07240">
      <w:pPr>
        <w:contextualSpacing/>
      </w:pPr>
    </w:p>
    <w:p w:rsidR="00417FB6" w:rsidRDefault="00417FB6" w:rsidP="00C07240">
      <w:pPr>
        <w:spacing w:line="480" w:lineRule="auto"/>
        <w:contextualSpacing/>
        <w:jc w:val="center"/>
      </w:pPr>
    </w:p>
    <w:p w:rsidR="00417FB6" w:rsidRDefault="00417FB6" w:rsidP="00C07240">
      <w:pPr>
        <w:spacing w:line="480" w:lineRule="auto"/>
        <w:contextualSpacing/>
        <w:jc w:val="center"/>
      </w:pPr>
    </w:p>
    <w:p w:rsidR="00417FB6" w:rsidRDefault="00417FB6" w:rsidP="00C07240">
      <w:pPr>
        <w:spacing w:line="480" w:lineRule="auto"/>
        <w:contextualSpacing/>
        <w:jc w:val="center"/>
      </w:pPr>
    </w:p>
    <w:p w:rsidR="00417FB6" w:rsidRDefault="00417FB6" w:rsidP="00C07240">
      <w:pPr>
        <w:spacing w:line="480" w:lineRule="auto"/>
        <w:contextualSpacing/>
        <w:jc w:val="center"/>
      </w:pPr>
      <w:r>
        <w:t xml:space="preserve">Literature Review </w:t>
      </w:r>
    </w:p>
    <w:p w:rsidR="00417FB6" w:rsidRDefault="00417FB6" w:rsidP="00C07240">
      <w:pPr>
        <w:spacing w:line="480" w:lineRule="auto"/>
        <w:contextualSpacing/>
        <w:jc w:val="center"/>
      </w:pPr>
    </w:p>
    <w:p w:rsidR="00417FB6" w:rsidRDefault="00417FB6" w:rsidP="00C07240">
      <w:pPr>
        <w:spacing w:line="480" w:lineRule="auto"/>
        <w:contextualSpacing/>
        <w:jc w:val="center"/>
      </w:pPr>
    </w:p>
    <w:p w:rsidR="00417FB6" w:rsidRDefault="00417FB6" w:rsidP="00C07240">
      <w:pPr>
        <w:spacing w:line="480" w:lineRule="auto"/>
        <w:contextualSpacing/>
        <w:jc w:val="center"/>
      </w:pPr>
    </w:p>
    <w:p w:rsidR="00417FB6" w:rsidRDefault="00417FB6" w:rsidP="00C07240">
      <w:pPr>
        <w:spacing w:line="480" w:lineRule="auto"/>
        <w:contextualSpacing/>
        <w:jc w:val="center"/>
      </w:pPr>
    </w:p>
    <w:p w:rsidR="00417FB6" w:rsidRDefault="00417FB6" w:rsidP="00C07240">
      <w:pPr>
        <w:spacing w:line="480" w:lineRule="auto"/>
        <w:contextualSpacing/>
        <w:jc w:val="center"/>
      </w:pPr>
    </w:p>
    <w:p w:rsidR="00417FB6" w:rsidRDefault="00417FB6" w:rsidP="00C07240">
      <w:pPr>
        <w:spacing w:line="480" w:lineRule="auto"/>
        <w:contextualSpacing/>
        <w:jc w:val="center"/>
      </w:pPr>
    </w:p>
    <w:p w:rsidR="00417FB6" w:rsidRDefault="00417FB6" w:rsidP="00C07240">
      <w:pPr>
        <w:spacing w:line="480" w:lineRule="auto"/>
        <w:contextualSpacing/>
        <w:jc w:val="center"/>
      </w:pPr>
    </w:p>
    <w:p w:rsidR="00417FB6" w:rsidRDefault="00417FB6" w:rsidP="00C07240">
      <w:pPr>
        <w:spacing w:line="480" w:lineRule="auto"/>
        <w:contextualSpacing/>
      </w:pPr>
    </w:p>
    <w:p w:rsidR="00417FB6" w:rsidRDefault="00417FB6" w:rsidP="00C07240">
      <w:pPr>
        <w:spacing w:line="480" w:lineRule="auto"/>
        <w:contextualSpacing/>
        <w:jc w:val="center"/>
      </w:pPr>
    </w:p>
    <w:p w:rsidR="00417FB6" w:rsidRDefault="00417FB6" w:rsidP="00C07240">
      <w:pPr>
        <w:spacing w:line="480" w:lineRule="auto"/>
        <w:contextualSpacing/>
        <w:jc w:val="center"/>
      </w:pPr>
    </w:p>
    <w:p w:rsidR="00417FB6" w:rsidRDefault="00417FB6" w:rsidP="00C07240">
      <w:pPr>
        <w:spacing w:line="480" w:lineRule="auto"/>
        <w:contextualSpacing/>
        <w:jc w:val="center"/>
      </w:pPr>
      <w:r>
        <w:t>ECON 4008-01: Macro-Modeling</w:t>
      </w:r>
    </w:p>
    <w:p w:rsidR="00417FB6" w:rsidRDefault="00417FB6" w:rsidP="00C07240">
      <w:pPr>
        <w:spacing w:line="480" w:lineRule="auto"/>
        <w:contextualSpacing/>
        <w:jc w:val="center"/>
      </w:pPr>
      <w:r>
        <w:t>Jenna Christensen and Kai Jensen</w:t>
      </w:r>
    </w:p>
    <w:p w:rsidR="00417FB6" w:rsidRDefault="00417FB6" w:rsidP="00C07240">
      <w:pPr>
        <w:spacing w:line="480" w:lineRule="auto"/>
        <w:contextualSpacing/>
        <w:jc w:val="center"/>
      </w:pPr>
      <w:r>
        <w:t>February 21, 2019</w:t>
      </w:r>
    </w:p>
    <w:p w:rsidR="00417FB6" w:rsidRDefault="00417FB6" w:rsidP="00C07240">
      <w:pPr>
        <w:spacing w:line="480" w:lineRule="auto"/>
        <w:contextualSpacing/>
      </w:pPr>
      <w:r>
        <w:br w:type="page"/>
      </w:r>
    </w:p>
    <w:p w:rsidR="00C07240" w:rsidRDefault="00C53819" w:rsidP="00C07240">
      <w:pPr>
        <w:pStyle w:val="NormalWeb"/>
        <w:spacing w:line="480" w:lineRule="auto"/>
        <w:ind w:firstLine="360"/>
        <w:contextualSpacing/>
        <w:rPr>
          <w:rFonts w:eastAsiaTheme="minorEastAsia"/>
        </w:rPr>
      </w:pPr>
      <w:r w:rsidRPr="00C07240">
        <w:lastRenderedPageBreak/>
        <w:t>Robert Lucas</w:t>
      </w:r>
      <w:r w:rsidR="00DC6703" w:rsidRPr="00C07240">
        <w:t xml:space="preserve"> (1978)</w:t>
      </w:r>
      <w:r w:rsidRPr="00C07240">
        <w:t xml:space="preserve"> </w:t>
      </w:r>
      <w:r w:rsidR="00DC6703" w:rsidRPr="00C07240">
        <w:t>examines</w:t>
      </w:r>
      <w:r w:rsidRPr="00C07240">
        <w:t xml:space="preserve"> the stochastic behavior of  equilibrium prices in a representative, pure exchange, single good economy with identical consumers.</w:t>
      </w:r>
      <w:r w:rsidRPr="00C07240">
        <w:rPr>
          <w:rStyle w:val="FootnoteReference"/>
        </w:rPr>
        <w:footnoteReference w:id="1"/>
      </w:r>
      <w:r w:rsidRPr="00C07240">
        <w:t xml:space="preserve"> According to Lucas, the general equilibrium and market clearing price for trees at time </w:t>
      </w:r>
      <m:oMath>
        <m:r>
          <w:rPr>
            <w:rFonts w:ascii="Cambria Math" w:hAnsi="Cambria Math"/>
          </w:rPr>
          <m:t>t</m:t>
        </m:r>
      </m:oMath>
      <w:r w:rsidRPr="00C07240">
        <w:rPr>
          <w:rFonts w:eastAsiaTheme="minorEastAsia"/>
        </w:rPr>
        <w:t xml:space="preserve"> must satisfy the following: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 xml:space="preserve">=1, </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 xml:space="preserve">, </m:t>
        </m:r>
      </m:oMath>
      <w:r w:rsidRPr="00C07240">
        <w:rPr>
          <w:rFonts w:eastAsiaTheme="minorEastAsia"/>
        </w:rPr>
        <w:t xml:space="preserve">and </w:t>
      </w:r>
      <m:oMath>
        <m:sSubSup>
          <m:sSubSupPr>
            <m:ctrlPr>
              <w:rPr>
                <w:rFonts w:ascii="Cambria Math" w:eastAsiaTheme="minorEastAsia" w:hAnsi="Cambria Math"/>
                <w:i/>
              </w:rPr>
            </m:ctrlPr>
          </m:sSubSupPr>
          <m:e>
            <m:r>
              <w:rPr>
                <w:rFonts w:ascii="Cambria Math" w:eastAsiaTheme="minorEastAsia" w:hAnsi="Cambria Math"/>
              </w:rPr>
              <m:t>c</m:t>
            </m:r>
          </m:e>
          <m:sub>
            <m:r>
              <w:rPr>
                <w:rFonts w:ascii="Cambria Math" w:eastAsiaTheme="minorEastAsia" w:hAnsi="Cambria Math"/>
              </w:rPr>
              <m:t>t</m:t>
            </m:r>
          </m:sub>
          <m:sup>
            <m:r>
              <w:rPr>
                <w:rFonts w:ascii="Cambria Math" w:eastAsiaTheme="minorEastAsia" w:hAnsi="Cambria Math"/>
              </w:rPr>
              <m:t>*</m:t>
            </m:r>
          </m:sup>
        </m:sSub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oMath>
      <w:r w:rsidRPr="00C07240">
        <w:rPr>
          <w:rFonts w:eastAsiaTheme="minorEastAsia"/>
        </w:rPr>
        <w:t xml:space="preserve">. Furthermore, the equilibrium price of the asset must satisfy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n=1</m:t>
            </m:r>
          </m:sub>
          <m:sup>
            <m:r>
              <w:rPr>
                <w:rFonts w:ascii="Cambria Math" w:eastAsiaTheme="minorEastAsia" w:hAnsi="Cambria Math"/>
              </w:rPr>
              <m:t>∞</m:t>
            </m:r>
          </m:sup>
          <m:e>
            <m:sSup>
              <m:sSupPr>
                <m:ctrlPr>
                  <w:rPr>
                    <w:rFonts w:ascii="Cambria Math" w:eastAsiaTheme="minorEastAsia" w:hAnsi="Cambria Math"/>
                    <w:i/>
                  </w:rPr>
                </m:ctrlPr>
              </m:sSupPr>
              <m:e>
                <m:r>
                  <w:rPr>
                    <w:rFonts w:ascii="Cambria Math" w:eastAsiaTheme="minorEastAsia" w:hAnsi="Cambria Math"/>
                  </w:rPr>
                  <m:t>β</m:t>
                </m:r>
              </m:e>
              <m:sup>
                <m:r>
                  <w:rPr>
                    <w:rFonts w:ascii="Cambria Math" w:eastAsiaTheme="minorEastAsia" w:hAnsi="Cambria Math"/>
                  </w:rPr>
                  <m:t xml:space="preserve">n </m:t>
                </m:r>
              </m:sup>
            </m:sSup>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u</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 xml:space="preserve">t+n </m:t>
                    </m:r>
                  </m:sub>
                </m:sSub>
                <m:r>
                  <w:rPr>
                    <w:rFonts w:ascii="Cambria Math" w:eastAsiaTheme="minorEastAsia" w:hAnsi="Cambria Math"/>
                  </w:rPr>
                  <m:t>)</m:t>
                </m:r>
              </m:num>
              <m:den>
                <m:r>
                  <w:rPr>
                    <w:rFonts w:ascii="Cambria Math" w:eastAsiaTheme="minorEastAsia" w:hAnsi="Cambria Math"/>
                  </w:rPr>
                  <m:t>u '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m:t>
                    </m:r>
                  </m:sub>
                </m:sSub>
                <m:r>
                  <w:rPr>
                    <w:rFonts w:ascii="Cambria Math" w:eastAsiaTheme="minorEastAsia" w:hAnsi="Cambria Math"/>
                  </w:rPr>
                  <m:t>)</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t+n</m:t>
                </m:r>
              </m:sub>
            </m:sSub>
            <m:r>
              <w:rPr>
                <w:rFonts w:ascii="Cambria Math" w:eastAsiaTheme="minorEastAsia" w:hAnsi="Cambria Math"/>
              </w:rPr>
              <m:t>}</m:t>
            </m:r>
          </m:e>
        </m:nary>
      </m:oMath>
      <w:r w:rsidR="00DC6703" w:rsidRPr="00C07240">
        <w:rPr>
          <w:rFonts w:eastAsiaTheme="minorEastAsia"/>
        </w:rPr>
        <w:t xml:space="preserve">. </w:t>
      </w:r>
      <w:r w:rsidR="00DC6703" w:rsidRPr="00C07240">
        <w:rPr>
          <w:rFonts w:eastAsiaTheme="minorEastAsia"/>
          <w:highlight w:val="yellow"/>
        </w:rPr>
        <w:t>Insert specifications about Lucas’s model.</w:t>
      </w:r>
      <w:r w:rsidR="00DC6703" w:rsidRPr="00C07240">
        <w:rPr>
          <w:rFonts w:eastAsiaTheme="minorEastAsia"/>
        </w:rPr>
        <w:t xml:space="preserve"> </w:t>
      </w:r>
      <w:r w:rsidR="00DC6703" w:rsidRPr="00C07240">
        <w:rPr>
          <w:rStyle w:val="FootnoteReference"/>
          <w:rFonts w:eastAsiaTheme="minorEastAsia"/>
        </w:rPr>
        <w:footnoteReference w:id="2"/>
      </w:r>
      <w:r w:rsidR="00DC6703" w:rsidRPr="00C07240">
        <w:rPr>
          <w:rFonts w:eastAsiaTheme="minorEastAsia"/>
        </w:rPr>
        <w:t xml:space="preserve"> </w:t>
      </w:r>
    </w:p>
    <w:p w:rsidR="00C53819" w:rsidRDefault="00C07240" w:rsidP="00C07240">
      <w:pPr>
        <w:pStyle w:val="NormalWeb"/>
        <w:spacing w:line="480" w:lineRule="auto"/>
        <w:ind w:firstLine="360"/>
        <w:contextualSpacing/>
        <w:rPr>
          <w:rFonts w:eastAsiaTheme="minorEastAsia"/>
        </w:rPr>
      </w:pPr>
      <w:r>
        <w:rPr>
          <w:rFonts w:eastAsiaTheme="minorEastAsia"/>
        </w:rPr>
        <w:t xml:space="preserve">Subsequent to the publication of the Lucas Asset Pricing Model, </w:t>
      </w:r>
      <w:proofErr w:type="spellStart"/>
      <w:r w:rsidR="00DC6703" w:rsidRPr="00C07240">
        <w:rPr>
          <w:rFonts w:eastAsiaTheme="minorEastAsia"/>
        </w:rPr>
        <w:t>Mehra</w:t>
      </w:r>
      <w:proofErr w:type="spellEnd"/>
      <w:r w:rsidR="00DC6703" w:rsidRPr="00C07240">
        <w:rPr>
          <w:rFonts w:eastAsiaTheme="minorEastAsia"/>
        </w:rPr>
        <w:t xml:space="preserve"> and Prescott (1985) present the equity premium puzzle</w:t>
      </w:r>
      <w:r>
        <w:rPr>
          <w:rFonts w:eastAsiaTheme="minorEastAsia"/>
        </w:rPr>
        <w:t xml:space="preserve">. They </w:t>
      </w:r>
      <w:r w:rsidR="000C6EFD" w:rsidRPr="00C07240">
        <w:rPr>
          <w:rFonts w:eastAsiaTheme="minorEastAsia"/>
        </w:rPr>
        <w:t>find that in a competitive pure exchange economy, the average annual yield of equity is, at most, four-tenths of a percent higher than that of short term debt</w:t>
      </w:r>
      <w:r w:rsidR="00DC6703" w:rsidRPr="00C07240">
        <w:rPr>
          <w:rFonts w:eastAsiaTheme="minorEastAsia"/>
        </w:rPr>
        <w:t>.</w:t>
      </w:r>
      <w:r w:rsidR="000C6EFD" w:rsidRPr="00C07240">
        <w:rPr>
          <w:rFonts w:eastAsiaTheme="minorEastAsia"/>
        </w:rPr>
        <w:t xml:space="preserve"> In stark contrast, the historical yield observed by </w:t>
      </w:r>
      <w:proofErr w:type="spellStart"/>
      <w:r w:rsidR="000C6EFD" w:rsidRPr="00C07240">
        <w:rPr>
          <w:rFonts w:eastAsiaTheme="minorEastAsia"/>
        </w:rPr>
        <w:t>Mehra</w:t>
      </w:r>
      <w:proofErr w:type="spellEnd"/>
      <w:r w:rsidR="000C6EFD" w:rsidRPr="00C07240">
        <w:rPr>
          <w:rFonts w:eastAsiaTheme="minorEastAsia"/>
        </w:rPr>
        <w:t xml:space="preserve"> and Prescott </w:t>
      </w:r>
      <w:r w:rsidR="007F7FBA" w:rsidRPr="00C07240">
        <w:rPr>
          <w:rFonts w:eastAsiaTheme="minorEastAsia"/>
        </w:rPr>
        <w:t>has</w:t>
      </w:r>
      <w:r w:rsidR="000C6EFD" w:rsidRPr="00C07240">
        <w:rPr>
          <w:rFonts w:eastAsiaTheme="minorEastAsia"/>
        </w:rPr>
        <w:t xml:space="preserve"> a premium of six percent</w:t>
      </w:r>
      <w:r w:rsidR="007F7FBA" w:rsidRPr="00C07240">
        <w:rPr>
          <w:rFonts w:eastAsiaTheme="minorEastAsia"/>
        </w:rPr>
        <w:t xml:space="preserve"> when accounting for U.S. business cycle fluctuations and reasonable risk aversion levels</w:t>
      </w:r>
      <w:r w:rsidR="000C6EFD" w:rsidRPr="00C07240">
        <w:rPr>
          <w:rFonts w:eastAsiaTheme="minorEastAsia"/>
        </w:rPr>
        <w:t>.</w:t>
      </w:r>
      <w:r w:rsidR="00A61E52" w:rsidRPr="00C07240">
        <w:rPr>
          <w:rFonts w:eastAsiaTheme="minorEastAsia"/>
        </w:rPr>
        <w:t xml:space="preserve"> They conclude that the historical U.S. equity premium, the return earned by a risky security in excess of that earned by a relat</w:t>
      </w:r>
      <w:r w:rsidR="00A61E52">
        <w:rPr>
          <w:rFonts w:eastAsiaTheme="minorEastAsia"/>
        </w:rPr>
        <w:t>ively risk free U.S. Treasury Bill, is not only irrational but also inexplicable.</w:t>
      </w:r>
      <w:r w:rsidR="00A61E52">
        <w:rPr>
          <w:rStyle w:val="FootnoteReference"/>
          <w:rFonts w:eastAsiaTheme="minorEastAsia"/>
        </w:rPr>
        <w:footnoteReference w:id="3"/>
      </w:r>
      <w:r w:rsidR="00984BCC">
        <w:rPr>
          <w:rFonts w:eastAsiaTheme="minorEastAsia"/>
        </w:rPr>
        <w:t xml:space="preserve"> According to  Nada (2013), </w:t>
      </w:r>
      <w:r w:rsidR="0076295B">
        <w:rPr>
          <w:rFonts w:eastAsiaTheme="minorEastAsia"/>
        </w:rPr>
        <w:t xml:space="preserve">the economies used in </w:t>
      </w:r>
      <w:proofErr w:type="spellStart"/>
      <w:r w:rsidR="0076295B">
        <w:rPr>
          <w:rFonts w:eastAsiaTheme="minorEastAsia"/>
        </w:rPr>
        <w:t>Mehra</w:t>
      </w:r>
      <w:proofErr w:type="spellEnd"/>
      <w:r w:rsidR="0076295B">
        <w:rPr>
          <w:rFonts w:eastAsiaTheme="minorEastAsia"/>
        </w:rPr>
        <w:t xml:space="preserve"> and Prescott’s study have a “stationary equilibrium for growth rate process on consumption as well as returns”</w:t>
      </w:r>
      <w:r w:rsidR="0076295B">
        <w:rPr>
          <w:rStyle w:val="FootnoteReference"/>
          <w:rFonts w:eastAsiaTheme="minorEastAsia"/>
        </w:rPr>
        <w:footnoteReference w:id="4"/>
      </w:r>
      <w:r w:rsidR="0076295B">
        <w:rPr>
          <w:rFonts w:eastAsiaTheme="minorEastAsia"/>
        </w:rPr>
        <w:t xml:space="preserve">. Nada maintains that the elasticity of substitution between consumption in time period </w:t>
      </w:r>
      <m:oMath>
        <m:r>
          <w:rPr>
            <w:rFonts w:ascii="Cambria Math" w:eastAsiaTheme="minorEastAsia" w:hAnsi="Cambria Math"/>
          </w:rPr>
          <m:t>t</m:t>
        </m:r>
      </m:oMath>
      <w:r w:rsidR="0076295B">
        <w:rPr>
          <w:rFonts w:eastAsiaTheme="minorEastAsia"/>
        </w:rPr>
        <w:t xml:space="preserve"> and time period </w:t>
      </w:r>
      <m:oMath>
        <m:r>
          <w:rPr>
            <w:rFonts w:ascii="Cambria Math" w:eastAsiaTheme="minorEastAsia" w:hAnsi="Cambria Math"/>
          </w:rPr>
          <m:t>t+1</m:t>
        </m:r>
      </m:oMath>
      <w:r w:rsidR="0076295B">
        <w:rPr>
          <w:rFonts w:eastAsiaTheme="minorEastAsia"/>
        </w:rPr>
        <w:t xml:space="preserve"> is sufficiently small to yield a six percent average premium, but the magnitude of the covariance between the marginal utility of consumption and equity returns is not sufficiently large enough to justify the equity premium observed. </w:t>
      </w:r>
      <w:proofErr w:type="spellStart"/>
      <w:r w:rsidR="0076295B">
        <w:rPr>
          <w:rFonts w:eastAsiaTheme="minorEastAsia"/>
        </w:rPr>
        <w:t>Mehra</w:t>
      </w:r>
      <w:proofErr w:type="spellEnd"/>
      <w:r w:rsidR="0076295B">
        <w:rPr>
          <w:rFonts w:eastAsiaTheme="minorEastAsia"/>
        </w:rPr>
        <w:t xml:space="preserve"> and Prescott’s equity premium puzzle ignited an extensive research effort within the fields of macroeconomics and finance. </w:t>
      </w:r>
      <w:r w:rsidR="00B53281">
        <w:rPr>
          <w:rFonts w:eastAsiaTheme="minorEastAsia"/>
        </w:rPr>
        <w:t>A</w:t>
      </w:r>
      <w:r w:rsidR="0076295B">
        <w:rPr>
          <w:rFonts w:eastAsiaTheme="minorEastAsia"/>
        </w:rPr>
        <w:t xml:space="preserve"> </w:t>
      </w:r>
      <w:r w:rsidR="0076295B">
        <w:rPr>
          <w:rFonts w:eastAsiaTheme="minorEastAsia"/>
        </w:rPr>
        <w:lastRenderedPageBreak/>
        <w:t xml:space="preserve">plethora of theoretical speculations and plausible explanations for this anomaly have been presented, </w:t>
      </w:r>
      <w:r w:rsidR="00B53281">
        <w:rPr>
          <w:rFonts w:eastAsiaTheme="minorEastAsia"/>
        </w:rPr>
        <w:t xml:space="preserve">but </w:t>
      </w:r>
      <w:r w:rsidR="0076295B">
        <w:rPr>
          <w:rFonts w:eastAsiaTheme="minorEastAsia"/>
        </w:rPr>
        <w:t>no</w:t>
      </w:r>
      <w:r w:rsidR="00B53281">
        <w:rPr>
          <w:rFonts w:eastAsiaTheme="minorEastAsia"/>
        </w:rPr>
        <w:t xml:space="preserve"> single</w:t>
      </w:r>
      <w:r w:rsidR="0076295B">
        <w:rPr>
          <w:rFonts w:eastAsiaTheme="minorEastAsia"/>
        </w:rPr>
        <w:t xml:space="preserve"> solution has been widely </w:t>
      </w:r>
      <w:r w:rsidR="00AE6F0F">
        <w:rPr>
          <w:rFonts w:eastAsiaTheme="minorEastAsia"/>
        </w:rPr>
        <w:t>accepted</w:t>
      </w:r>
      <w:r w:rsidR="0076295B">
        <w:rPr>
          <w:rFonts w:eastAsiaTheme="minorEastAsia"/>
        </w:rPr>
        <w:t xml:space="preserve"> by economists. </w:t>
      </w:r>
    </w:p>
    <w:p w:rsidR="00C07240" w:rsidRDefault="00C07240" w:rsidP="001B6644">
      <w:pPr>
        <w:pStyle w:val="NormalWeb"/>
        <w:spacing w:line="480" w:lineRule="auto"/>
        <w:ind w:firstLine="360"/>
        <w:contextualSpacing/>
      </w:pPr>
      <w:r w:rsidRPr="00C07240">
        <w:t xml:space="preserve">Traditionally, studies that replicate the equity premium puzzle with a Lucas Asset Pricing Model examine the excess returns of a risky security or index relative to those of risk free assets or treasury bonds. </w:t>
      </w:r>
      <w:r w:rsidR="00475DDB">
        <w:t>Although virtual currencies resemble the role of money and create an alternative environment for conducting business, it was not u</w:t>
      </w:r>
      <w:r w:rsidRPr="00C07240">
        <w:t>ntil 2016</w:t>
      </w:r>
      <w:r w:rsidR="00475DDB">
        <w:t xml:space="preserve"> that </w:t>
      </w:r>
      <w:r w:rsidRPr="00C07240">
        <w:t>cryptocurrencies were unacknowledged by academics.</w:t>
      </w:r>
      <w:r w:rsidR="001B6644">
        <w:t xml:space="preserve"> According to </w:t>
      </w:r>
      <w:proofErr w:type="spellStart"/>
      <w:r w:rsidR="001B6644">
        <w:t>Vandezande</w:t>
      </w:r>
      <w:proofErr w:type="spellEnd"/>
      <w:r w:rsidR="001B6644">
        <w:t xml:space="preserve"> (2017), cryptocurrencies have the highest risk among all types of virtual currencies. He maintains that investors are not fully informed about the risk relating to cryptocurrency investments due to the absence of regulatory bodies and the enforcement of protection mechanisms</w:t>
      </w:r>
      <w:r w:rsidR="001B6644">
        <w:rPr>
          <w:rStyle w:val="FootnoteReference"/>
        </w:rPr>
        <w:footnoteReference w:id="5"/>
      </w:r>
      <w:r w:rsidR="001B6644">
        <w:t>. Thus, it is increasingly important to analyze the behavior of cryptocurrencies as financial tools. While</w:t>
      </w:r>
      <w:r w:rsidRPr="00C07240">
        <w:t xml:space="preserve"> the volatile behavior of cryptocurrency is now at the forefront of many financial economic works,</w:t>
      </w:r>
      <w:r w:rsidR="001B6644">
        <w:t xml:space="preserve"> there are few explanations for the current behavior of cryptocurrencies as investment tools, and</w:t>
      </w:r>
      <w:r w:rsidRPr="00C07240">
        <w:t xml:space="preserve"> the risk premia necessary to hold cryptocurrencies are scantly studied. </w:t>
      </w:r>
    </w:p>
    <w:p w:rsidR="00A61E52" w:rsidRDefault="001B6644" w:rsidP="00C347C2">
      <w:pPr>
        <w:pStyle w:val="NormalWeb"/>
        <w:spacing w:line="480" w:lineRule="auto"/>
        <w:ind w:firstLine="360"/>
        <w:contextualSpacing/>
      </w:pPr>
      <w:r>
        <w:t>Much of the</w:t>
      </w:r>
      <w:r w:rsidR="00D30AE1">
        <w:t xml:space="preserve"> financial</w:t>
      </w:r>
      <w:r>
        <w:t xml:space="preserve"> literature </w:t>
      </w:r>
      <w:r w:rsidR="00D30AE1">
        <w:t>contains</w:t>
      </w:r>
      <w:r w:rsidR="003E4C63">
        <w:t xml:space="preserve"> ambiguous results </w:t>
      </w:r>
      <w:r w:rsidR="00D30AE1">
        <w:t xml:space="preserve">concerning the behavior of cryptocurrencies. Thus, the debate about whether cryptocurrencies are a speculative investment asset or a currency remains ongoing. </w:t>
      </w:r>
      <w:r w:rsidR="00C07240">
        <w:t>Corbet, Meegan, et al. (2018) examine the relationships between cryptocurrencies and other financial assets</w:t>
      </w:r>
      <w:r w:rsidR="00475DDB">
        <w:t xml:space="preserve"> with the Diebold and Yilmaz methodology</w:t>
      </w:r>
      <w:r w:rsidR="00475DDB">
        <w:rPr>
          <w:rStyle w:val="FootnoteReference"/>
        </w:rPr>
        <w:footnoteReference w:id="6"/>
      </w:r>
      <w:r w:rsidR="00475DDB">
        <w:t xml:space="preserve">, </w:t>
      </w:r>
      <w:proofErr w:type="spellStart"/>
      <w:r w:rsidR="00475DDB">
        <w:t>Barunik</w:t>
      </w:r>
      <w:proofErr w:type="spellEnd"/>
      <w:r w:rsidR="00475DDB">
        <w:t xml:space="preserve"> and </w:t>
      </w:r>
      <w:proofErr w:type="spellStart"/>
      <w:r w:rsidR="00475DDB">
        <w:t>Krehlik</w:t>
      </w:r>
      <w:proofErr w:type="spellEnd"/>
      <w:r w:rsidR="00475DDB">
        <w:t xml:space="preserve"> methodology</w:t>
      </w:r>
      <w:r w:rsidR="00475DDB">
        <w:rPr>
          <w:rStyle w:val="FootnoteReference"/>
        </w:rPr>
        <w:footnoteReference w:id="7"/>
      </w:r>
      <w:r w:rsidR="00475DDB">
        <w:t xml:space="preserve">, and a standard MVGARCH-DCC model. </w:t>
      </w:r>
      <w:r w:rsidR="00D30AE1">
        <w:t xml:space="preserve">They hypothesize that, “cryptocurrency markets, i.e. Bitcoin, Ripple and Litecoin, are strongly interconnected, and </w:t>
      </w:r>
      <w:r w:rsidR="00D30AE1">
        <w:lastRenderedPageBreak/>
        <w:t>demonstrate similar patterns of return and volatility transmission with other assets.”</w:t>
      </w:r>
      <w:r w:rsidR="00D30AE1">
        <w:rPr>
          <w:rStyle w:val="FootnoteReference"/>
        </w:rPr>
        <w:footnoteReference w:id="8"/>
      </w:r>
      <w:r w:rsidR="00D30AE1">
        <w:t xml:space="preserve"> </w:t>
      </w:r>
      <w:r w:rsidR="00475DDB">
        <w:t xml:space="preserve">They study the return and volatility transmission among Bitcoin, Ripple, and Litecoin and further their research by studying the excess return and volatility transmission to gold, bond, equities, and the global volatility index (VIX).  Their findings demonstrate that cryptocurrencies are relatively isolated from market shocks and decoupled from popular financial assets, despite the fact that the performance of each cryptocurrency is correlated to the performance of other cryptocurrencies. </w:t>
      </w:r>
      <w:r w:rsidR="00D30AE1">
        <w:t xml:space="preserve">This suggests that cryptocurrencies can be effective tools for portfolio diversification. </w:t>
      </w:r>
      <w:r w:rsidR="00D30AE1">
        <w:t xml:space="preserve">They also find that Bitcoin, Ripple, and Litecoin are highly sensitive to industry regulations and technological malfunctions. </w:t>
      </w:r>
      <w:r w:rsidR="00D30AE1">
        <w:t xml:space="preserve">Thus, the interconnectedness among cryptocurrencies indicates that substantial changes in cryptocurrency prices are attributable to speculative activity. </w:t>
      </w:r>
    </w:p>
    <w:p w:rsidR="00C347C2" w:rsidRPr="00C347C2" w:rsidRDefault="00C347C2" w:rsidP="00C347C2">
      <w:pPr>
        <w:pStyle w:val="NormalWeb"/>
        <w:spacing w:line="480" w:lineRule="auto"/>
        <w:ind w:firstLine="360"/>
        <w:contextualSpacing/>
        <w:rPr>
          <w:rFonts w:eastAsia="Times New Roman"/>
        </w:rPr>
      </w:pPr>
      <w:r>
        <w:t>Although cryptocurrencies may serve as useful portfolio diversifiers their returns do not behave similarly to standard asset classes</w:t>
      </w:r>
      <w:r w:rsidR="00B23704">
        <w:t>.</w:t>
      </w:r>
      <w:r w:rsidR="00B23704">
        <w:rPr>
          <w:rStyle w:val="FootnoteReference"/>
        </w:rPr>
        <w:footnoteReference w:id="9"/>
      </w:r>
      <w:r w:rsidR="00932755">
        <w:t xml:space="preserve"> </w:t>
      </w:r>
      <w:r w:rsidR="00B23704">
        <w:t>By</w:t>
      </w:r>
      <w:r w:rsidR="00932755">
        <w:t xml:space="preserve"> implementing</w:t>
      </w:r>
      <w:r>
        <w:t xml:space="preserve"> empirical asset pricing models </w:t>
      </w:r>
      <w:r w:rsidR="00932755">
        <w:t>and</w:t>
      </w:r>
      <w:r>
        <w:t xml:space="preserve"> </w:t>
      </w:r>
      <w:r w:rsidR="00932755">
        <w:t>analyzing</w:t>
      </w:r>
      <w:r>
        <w:t xml:space="preserve"> co-movements of </w:t>
      </w:r>
      <w:r w:rsidR="00932755">
        <w:t>Bitcoin, Ripple, Ethereum</w:t>
      </w:r>
      <w:r>
        <w:t>, stocks, currencies, commodities, macroeconomic factors, and cryptocurrency market specific factors</w:t>
      </w:r>
      <w:r w:rsidR="00B23704">
        <w:t xml:space="preserve"> Liu and </w:t>
      </w:r>
      <w:proofErr w:type="spellStart"/>
      <w:r w:rsidR="00B23704">
        <w:t>Tsyvinski</w:t>
      </w:r>
      <w:proofErr w:type="spellEnd"/>
      <w:r w:rsidR="00B23704">
        <w:t xml:space="preserve"> (2018) conclude that</w:t>
      </w:r>
      <w:r w:rsidR="00932755">
        <w:t xml:space="preserve"> </w:t>
      </w:r>
      <w:r w:rsidR="00B23704">
        <w:t>c</w:t>
      </w:r>
      <w:r w:rsidR="00932755">
        <w:t>ryptocurrencies can be assessed using simple financial tools</w:t>
      </w:r>
      <w:r w:rsidR="00B23704">
        <w:t xml:space="preserve"> but </w:t>
      </w:r>
      <w:r w:rsidR="00932755">
        <w:t>behave in a radically different manner than traditional assets. Hence, only cryptocurrency market specific factors including momentum and investor attention con</w:t>
      </w:r>
      <w:bookmarkStart w:id="0" w:name="_GoBack"/>
      <w:bookmarkEnd w:id="0"/>
      <w:r w:rsidR="00932755">
        <w:t>sistently explain market returns.</w:t>
      </w:r>
    </w:p>
    <w:p w:rsidR="00B23704" w:rsidRDefault="00B23704">
      <w:r>
        <w:br w:type="page"/>
      </w:r>
    </w:p>
    <w:sdt>
      <w:sdtPr>
        <w:rPr>
          <w:b w:val="0"/>
        </w:rPr>
        <w:id w:val="666058277"/>
        <w:docPartObj>
          <w:docPartGallery w:val="Bibliographies"/>
          <w:docPartUnique/>
        </w:docPartObj>
      </w:sdtPr>
      <w:sdtEndPr>
        <w:rPr>
          <w:rFonts w:ascii="Times New Roman" w:eastAsiaTheme="minorHAnsi" w:hAnsi="Times New Roman" w:cs="Times New Roman"/>
          <w:bCs w:val="0"/>
          <w:color w:val="auto"/>
          <w:sz w:val="24"/>
          <w:szCs w:val="24"/>
          <w:lang w:bidi="ar-SA"/>
        </w:rPr>
      </w:sdtEndPr>
      <w:sdtContent>
        <w:p w:rsidR="00B23704" w:rsidRPr="00B23704" w:rsidRDefault="00B23704" w:rsidP="00B23704">
          <w:pPr>
            <w:pStyle w:val="Heading1"/>
            <w:spacing w:line="480" w:lineRule="auto"/>
            <w:jc w:val="center"/>
            <w:rPr>
              <w:rFonts w:ascii="Times New Roman" w:hAnsi="Times New Roman" w:cs="Times New Roman"/>
              <w:b w:val="0"/>
              <w:color w:val="auto"/>
              <w:sz w:val="24"/>
              <w:szCs w:val="24"/>
            </w:rPr>
          </w:pPr>
          <w:r w:rsidRPr="00B23704">
            <w:rPr>
              <w:rFonts w:ascii="Times New Roman" w:hAnsi="Times New Roman" w:cs="Times New Roman"/>
              <w:b w:val="0"/>
              <w:color w:val="auto"/>
              <w:sz w:val="24"/>
              <w:szCs w:val="24"/>
            </w:rPr>
            <w:t>Bibliography</w:t>
          </w:r>
        </w:p>
        <w:sdt>
          <w:sdtPr>
            <w:id w:val="111145805"/>
            <w:bibliography/>
          </w:sdtPr>
          <w:sdtEndPr/>
          <w:sdtContent>
            <w:p w:rsidR="00B23704" w:rsidRPr="00B23704" w:rsidRDefault="00B23704" w:rsidP="00B23704">
              <w:pPr>
                <w:pStyle w:val="Bibliography"/>
                <w:spacing w:line="480" w:lineRule="auto"/>
                <w:ind w:left="720" w:hanging="720"/>
                <w:rPr>
                  <w:noProof/>
                </w:rPr>
              </w:pPr>
              <w:r w:rsidRPr="00B23704">
                <w:fldChar w:fldCharType="begin"/>
              </w:r>
              <w:r w:rsidRPr="00B23704">
                <w:instrText xml:space="preserve"> BIBLIOGRAPHY </w:instrText>
              </w:r>
              <w:r w:rsidRPr="00B23704">
                <w:fldChar w:fldCharType="separate"/>
              </w:r>
              <w:r w:rsidRPr="00B23704">
                <w:rPr>
                  <w:noProof/>
                </w:rPr>
                <w:t xml:space="preserve">Barunik, Jozef, and Thomas Krehlik. 2016. </w:t>
              </w:r>
              <w:r w:rsidRPr="00B23704">
                <w:rPr>
                  <w:i/>
                  <w:iCs/>
                  <w:noProof/>
                </w:rPr>
                <w:t>Measuring the frequency dynamics of financial and macroeconomic connectedness.</w:t>
              </w:r>
              <w:r w:rsidRPr="00B23704">
                <w:rPr>
                  <w:noProof/>
                </w:rPr>
                <w:t xml:space="preserve"> </w:t>
              </w:r>
            </w:p>
            <w:p w:rsidR="00B23704" w:rsidRPr="00B23704" w:rsidRDefault="00B23704" w:rsidP="00B23704">
              <w:pPr>
                <w:pStyle w:val="Bibliography"/>
                <w:spacing w:line="480" w:lineRule="auto"/>
                <w:ind w:left="720" w:hanging="720"/>
                <w:rPr>
                  <w:noProof/>
                </w:rPr>
              </w:pPr>
              <w:r w:rsidRPr="00B23704">
                <w:rPr>
                  <w:noProof/>
                </w:rPr>
                <w:t xml:space="preserve">Corbet, Shaen, Andrew Meegan, Charles Larkin, Brian Lucey, and Larisa Yarovaya. 2018. "Exploring the Dynamic Relationships between Cryptocurrencies and Other financial Assets." </w:t>
              </w:r>
              <w:r w:rsidRPr="00B23704">
                <w:rPr>
                  <w:i/>
                  <w:iCs/>
                  <w:noProof/>
                </w:rPr>
                <w:t>Economics Letters.</w:t>
              </w:r>
              <w:r w:rsidRPr="00B23704">
                <w:rPr>
                  <w:noProof/>
                </w:rPr>
                <w:t xml:space="preserve"> </w:t>
              </w:r>
            </w:p>
            <w:p w:rsidR="00B23704" w:rsidRPr="00B23704" w:rsidRDefault="00B23704" w:rsidP="00B23704">
              <w:pPr>
                <w:pStyle w:val="Bibliography"/>
                <w:spacing w:line="480" w:lineRule="auto"/>
                <w:ind w:left="720" w:hanging="720"/>
                <w:rPr>
                  <w:noProof/>
                </w:rPr>
              </w:pPr>
              <w:r w:rsidRPr="00B23704">
                <w:rPr>
                  <w:noProof/>
                </w:rPr>
                <w:t xml:space="preserve">Francis, Diebold, and Kamil Yilmaz. 2012. "Better to give than to receive: Predictive directional measurement of volatility spillovers." </w:t>
              </w:r>
              <w:r w:rsidRPr="00B23704">
                <w:rPr>
                  <w:i/>
                  <w:iCs/>
                  <w:noProof/>
                </w:rPr>
                <w:t>International Journal of Forecasting</w:t>
              </w:r>
              <w:r w:rsidRPr="00B23704">
                <w:rPr>
                  <w:noProof/>
                </w:rPr>
                <w:t xml:space="preserve"> 57-66.</w:t>
              </w:r>
            </w:p>
            <w:p w:rsidR="00B23704" w:rsidRPr="00B23704" w:rsidRDefault="00B23704" w:rsidP="00B23704">
              <w:pPr>
                <w:pStyle w:val="Bibliography"/>
                <w:spacing w:line="480" w:lineRule="auto"/>
                <w:ind w:left="720" w:hanging="720"/>
                <w:rPr>
                  <w:noProof/>
                </w:rPr>
              </w:pPr>
              <w:r w:rsidRPr="00B23704">
                <w:rPr>
                  <w:noProof/>
                </w:rPr>
                <w:t xml:space="preserve">Liu, Yukun, and Aleh Tsyvinski. 2018. "Risks and Returns of Cryptocurrency." </w:t>
              </w:r>
              <w:r w:rsidRPr="00B23704">
                <w:rPr>
                  <w:i/>
                  <w:iCs/>
                  <w:noProof/>
                </w:rPr>
                <w:t>NBER Working Paper Series.</w:t>
              </w:r>
              <w:r w:rsidRPr="00B23704">
                <w:rPr>
                  <w:noProof/>
                </w:rPr>
                <w:t xml:space="preserve"> National Bureau of Economic Research, August.</w:t>
              </w:r>
            </w:p>
            <w:p w:rsidR="00B23704" w:rsidRPr="00B23704" w:rsidRDefault="00B23704" w:rsidP="00B23704">
              <w:pPr>
                <w:pStyle w:val="Bibliography"/>
                <w:spacing w:line="480" w:lineRule="auto"/>
                <w:ind w:left="720" w:hanging="720"/>
                <w:rPr>
                  <w:noProof/>
                </w:rPr>
              </w:pPr>
              <w:r w:rsidRPr="00B23704">
                <w:rPr>
                  <w:noProof/>
                </w:rPr>
                <w:t xml:space="preserve">Lucas, Robert E. 1978. "Asset Prices in an Exchange Economy." </w:t>
              </w:r>
              <w:r w:rsidRPr="00B23704">
                <w:rPr>
                  <w:i/>
                  <w:iCs/>
                  <w:noProof/>
                </w:rPr>
                <w:t>Econometrica</w:t>
              </w:r>
              <w:r w:rsidRPr="00B23704">
                <w:rPr>
                  <w:noProof/>
                </w:rPr>
                <w:t xml:space="preserve"> 1429-1445.</w:t>
              </w:r>
            </w:p>
            <w:p w:rsidR="00B23704" w:rsidRPr="00B23704" w:rsidRDefault="00B23704" w:rsidP="00B23704">
              <w:pPr>
                <w:pStyle w:val="Bibliography"/>
                <w:spacing w:line="480" w:lineRule="auto"/>
                <w:ind w:left="720" w:hanging="720"/>
                <w:rPr>
                  <w:noProof/>
                </w:rPr>
              </w:pPr>
              <w:r w:rsidRPr="00B23704">
                <w:rPr>
                  <w:noProof/>
                </w:rPr>
                <w:t xml:space="preserve">Nada, Sara. 2013. "Equity Premium Puzzle: Not solved yet. ." </w:t>
              </w:r>
              <w:r w:rsidRPr="00B23704">
                <w:rPr>
                  <w:i/>
                  <w:iCs/>
                  <w:noProof/>
                </w:rPr>
                <w:t>International Conference on Economics and Business Administration.</w:t>
              </w:r>
              <w:r w:rsidRPr="00B23704">
                <w:rPr>
                  <w:noProof/>
                </w:rPr>
                <w:t xml:space="preserve"> 48-61.</w:t>
              </w:r>
            </w:p>
            <w:p w:rsidR="00B23704" w:rsidRPr="00B23704" w:rsidRDefault="00B23704" w:rsidP="00B23704">
              <w:pPr>
                <w:pStyle w:val="Bibliography"/>
                <w:spacing w:line="480" w:lineRule="auto"/>
                <w:ind w:left="720" w:hanging="720"/>
                <w:rPr>
                  <w:noProof/>
                </w:rPr>
              </w:pPr>
              <w:r w:rsidRPr="00B23704">
                <w:rPr>
                  <w:noProof/>
                </w:rPr>
                <w:t xml:space="preserve">Prescott, Edward, and Rajnish Mehra. 1985. "The equity premium: A puzzle." </w:t>
              </w:r>
              <w:r w:rsidRPr="00B23704">
                <w:rPr>
                  <w:i/>
                  <w:iCs/>
                  <w:noProof/>
                </w:rPr>
                <w:t xml:space="preserve">Journal of Monetary Economics </w:t>
              </w:r>
              <w:r w:rsidRPr="00B23704">
                <w:rPr>
                  <w:noProof/>
                </w:rPr>
                <w:t>145-161.</w:t>
              </w:r>
            </w:p>
            <w:p w:rsidR="00B23704" w:rsidRPr="00B23704" w:rsidRDefault="00B23704" w:rsidP="00B23704">
              <w:pPr>
                <w:pStyle w:val="Bibliography"/>
                <w:spacing w:line="480" w:lineRule="auto"/>
                <w:ind w:left="720" w:hanging="720"/>
                <w:rPr>
                  <w:noProof/>
                </w:rPr>
              </w:pPr>
              <w:r w:rsidRPr="00B23704">
                <w:rPr>
                  <w:noProof/>
                </w:rPr>
                <w:t xml:space="preserve">Vandezande, Niels. 2017. "Virtual currencies under EU anti-money laundering law." </w:t>
              </w:r>
              <w:r w:rsidRPr="00B23704">
                <w:rPr>
                  <w:i/>
                  <w:iCs/>
                  <w:noProof/>
                </w:rPr>
                <w:t>Computer Law &amp; Security Review</w:t>
              </w:r>
              <w:r w:rsidRPr="00B23704">
                <w:rPr>
                  <w:noProof/>
                </w:rPr>
                <w:t xml:space="preserve"> 341-353.</w:t>
              </w:r>
            </w:p>
            <w:p w:rsidR="000F7B43" w:rsidRDefault="00B23704" w:rsidP="00B23704">
              <w:pPr>
                <w:spacing w:line="480" w:lineRule="auto"/>
              </w:pPr>
              <w:r w:rsidRPr="00B23704">
                <w:rPr>
                  <w:b/>
                  <w:bCs/>
                  <w:noProof/>
                </w:rPr>
                <w:fldChar w:fldCharType="end"/>
              </w:r>
            </w:p>
          </w:sdtContent>
        </w:sdt>
      </w:sdtContent>
    </w:sdt>
    <w:sectPr w:rsidR="000F7B43" w:rsidSect="00B97AE4">
      <w:headerReference w:type="even" r:id="rId8"/>
      <w:headerReference w:type="default" r:id="rId9"/>
      <w:head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4807" w:rsidRDefault="006B4807" w:rsidP="00280FD6">
      <w:r>
        <w:separator/>
      </w:r>
    </w:p>
  </w:endnote>
  <w:endnote w:type="continuationSeparator" w:id="0">
    <w:p w:rsidR="006B4807" w:rsidRDefault="006B4807" w:rsidP="00280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4807" w:rsidRDefault="006B4807" w:rsidP="00280FD6">
      <w:r>
        <w:separator/>
      </w:r>
    </w:p>
  </w:footnote>
  <w:footnote w:type="continuationSeparator" w:id="0">
    <w:p w:rsidR="006B4807" w:rsidRDefault="006B4807" w:rsidP="00280FD6">
      <w:r>
        <w:continuationSeparator/>
      </w:r>
    </w:p>
  </w:footnote>
  <w:footnote w:id="1">
    <w:p w:rsidR="00C53819" w:rsidRPr="00B23704" w:rsidRDefault="00C53819" w:rsidP="00B23704">
      <w:pPr>
        <w:pStyle w:val="Bibliography"/>
        <w:spacing w:line="276" w:lineRule="auto"/>
        <w:ind w:left="720" w:hanging="720"/>
        <w:rPr>
          <w:noProof/>
          <w:sz w:val="20"/>
          <w:szCs w:val="20"/>
        </w:rPr>
      </w:pPr>
      <w:r>
        <w:rPr>
          <w:rStyle w:val="FootnoteReference"/>
        </w:rPr>
        <w:footnoteRef/>
      </w:r>
      <w:r>
        <w:t xml:space="preserve"> </w:t>
      </w:r>
      <w:r w:rsidR="00B23704" w:rsidRPr="00B23704">
        <w:rPr>
          <w:noProof/>
          <w:sz w:val="20"/>
          <w:szCs w:val="20"/>
        </w:rPr>
        <w:t xml:space="preserve">Lucas, Robert E. 1978. "Asset Prices in an Exchange Economy." </w:t>
      </w:r>
      <w:r w:rsidR="00B23704" w:rsidRPr="00B23704">
        <w:rPr>
          <w:i/>
          <w:iCs/>
          <w:noProof/>
          <w:sz w:val="20"/>
          <w:szCs w:val="20"/>
        </w:rPr>
        <w:t>Econometrica</w:t>
      </w:r>
      <w:r w:rsidR="00B23704" w:rsidRPr="00B23704">
        <w:rPr>
          <w:noProof/>
          <w:sz w:val="20"/>
          <w:szCs w:val="20"/>
        </w:rPr>
        <w:t xml:space="preserve"> 1429-1445.</w:t>
      </w:r>
    </w:p>
  </w:footnote>
  <w:footnote w:id="2">
    <w:p w:rsidR="00DC6703" w:rsidRDefault="00DC6703">
      <w:pPr>
        <w:pStyle w:val="FootnoteText"/>
      </w:pPr>
      <w:r>
        <w:rPr>
          <w:rStyle w:val="FootnoteReference"/>
        </w:rPr>
        <w:footnoteRef/>
      </w:r>
      <w:r>
        <w:t xml:space="preserve"> Ibid. </w:t>
      </w:r>
    </w:p>
  </w:footnote>
  <w:footnote w:id="3">
    <w:p w:rsidR="00A61E52" w:rsidRPr="00B23704" w:rsidRDefault="00A61E52" w:rsidP="00B23704">
      <w:pPr>
        <w:pStyle w:val="Bibliography"/>
        <w:spacing w:line="276" w:lineRule="auto"/>
        <w:ind w:left="720" w:hanging="720"/>
        <w:rPr>
          <w:noProof/>
          <w:sz w:val="20"/>
          <w:szCs w:val="20"/>
        </w:rPr>
      </w:pPr>
      <w:r>
        <w:rPr>
          <w:rStyle w:val="FootnoteReference"/>
        </w:rPr>
        <w:footnoteRef/>
      </w:r>
      <w:r>
        <w:t xml:space="preserve"> </w:t>
      </w:r>
      <w:r w:rsidR="00B23704" w:rsidRPr="00B23704">
        <w:rPr>
          <w:noProof/>
          <w:sz w:val="20"/>
          <w:szCs w:val="20"/>
        </w:rPr>
        <w:t xml:space="preserve">Prescott, Edward, and Rajnish Mehra. 1985. "The equity premium: A puzzle." </w:t>
      </w:r>
      <w:r w:rsidR="00B23704" w:rsidRPr="00B23704">
        <w:rPr>
          <w:i/>
          <w:iCs/>
          <w:noProof/>
          <w:sz w:val="20"/>
          <w:szCs w:val="20"/>
        </w:rPr>
        <w:t xml:space="preserve">Journal of Monetary Economics </w:t>
      </w:r>
      <w:r w:rsidR="00B23704" w:rsidRPr="00B23704">
        <w:rPr>
          <w:noProof/>
          <w:sz w:val="20"/>
          <w:szCs w:val="20"/>
        </w:rPr>
        <w:t>145-161.</w:t>
      </w:r>
    </w:p>
  </w:footnote>
  <w:footnote w:id="4">
    <w:p w:rsidR="0076295B" w:rsidRPr="00B23704" w:rsidRDefault="0076295B" w:rsidP="00B23704">
      <w:pPr>
        <w:pStyle w:val="Bibliography"/>
        <w:spacing w:line="276" w:lineRule="auto"/>
        <w:ind w:left="720" w:hanging="720"/>
        <w:rPr>
          <w:noProof/>
          <w:sz w:val="20"/>
          <w:szCs w:val="20"/>
        </w:rPr>
      </w:pPr>
      <w:r>
        <w:rPr>
          <w:rStyle w:val="FootnoteReference"/>
        </w:rPr>
        <w:footnoteRef/>
      </w:r>
      <w:r>
        <w:t xml:space="preserve"> </w:t>
      </w:r>
      <w:r w:rsidR="00B23704" w:rsidRPr="00B23704">
        <w:rPr>
          <w:noProof/>
          <w:sz w:val="20"/>
          <w:szCs w:val="20"/>
        </w:rPr>
        <w:t xml:space="preserve">Nada, Sara. 2013. "Equity Premium Puzzle: Not solved yet. ." </w:t>
      </w:r>
      <w:r w:rsidR="00B23704" w:rsidRPr="00B23704">
        <w:rPr>
          <w:i/>
          <w:iCs/>
          <w:noProof/>
          <w:sz w:val="20"/>
          <w:szCs w:val="20"/>
        </w:rPr>
        <w:t>International Conference on Economics and Business Administration.</w:t>
      </w:r>
      <w:r w:rsidR="00B23704" w:rsidRPr="00B23704">
        <w:rPr>
          <w:noProof/>
          <w:sz w:val="20"/>
          <w:szCs w:val="20"/>
        </w:rPr>
        <w:t xml:space="preserve"> 48-61.</w:t>
      </w:r>
    </w:p>
  </w:footnote>
  <w:footnote w:id="5">
    <w:p w:rsidR="001B6644" w:rsidRPr="00B23704" w:rsidRDefault="001B6644" w:rsidP="00B23704">
      <w:pPr>
        <w:pStyle w:val="Bibliography"/>
        <w:spacing w:line="276" w:lineRule="auto"/>
        <w:ind w:left="720" w:hanging="720"/>
        <w:rPr>
          <w:noProof/>
          <w:sz w:val="20"/>
          <w:szCs w:val="20"/>
        </w:rPr>
      </w:pPr>
      <w:r>
        <w:rPr>
          <w:rStyle w:val="FootnoteReference"/>
        </w:rPr>
        <w:footnoteRef/>
      </w:r>
      <w:r>
        <w:t xml:space="preserve"> </w:t>
      </w:r>
      <w:r w:rsidR="00B23704" w:rsidRPr="00B23704">
        <w:rPr>
          <w:noProof/>
          <w:sz w:val="20"/>
          <w:szCs w:val="20"/>
        </w:rPr>
        <w:t xml:space="preserve">Vandezande, Niels. 2017. "Virtual currencies under EU anti-money laundering law." </w:t>
      </w:r>
      <w:r w:rsidR="00B23704" w:rsidRPr="00B23704">
        <w:rPr>
          <w:i/>
          <w:iCs/>
          <w:noProof/>
          <w:sz w:val="20"/>
          <w:szCs w:val="20"/>
        </w:rPr>
        <w:t>Computer Law &amp; Security Review</w:t>
      </w:r>
      <w:r w:rsidR="00B23704" w:rsidRPr="00B23704">
        <w:rPr>
          <w:noProof/>
          <w:sz w:val="20"/>
          <w:szCs w:val="20"/>
        </w:rPr>
        <w:t xml:space="preserve"> 341-353.</w:t>
      </w:r>
    </w:p>
  </w:footnote>
  <w:footnote w:id="6">
    <w:p w:rsidR="00475DDB" w:rsidRPr="00B23704" w:rsidRDefault="00475DDB" w:rsidP="00B23704">
      <w:pPr>
        <w:pStyle w:val="Bibliography"/>
        <w:spacing w:line="276" w:lineRule="auto"/>
        <w:ind w:left="720" w:hanging="720"/>
        <w:rPr>
          <w:noProof/>
          <w:sz w:val="20"/>
          <w:szCs w:val="20"/>
        </w:rPr>
      </w:pPr>
      <w:r>
        <w:rPr>
          <w:rStyle w:val="FootnoteReference"/>
        </w:rPr>
        <w:footnoteRef/>
      </w:r>
      <w:r w:rsidR="00B23704">
        <w:t xml:space="preserve"> </w:t>
      </w:r>
      <w:r w:rsidR="00B23704" w:rsidRPr="00B23704">
        <w:rPr>
          <w:noProof/>
          <w:sz w:val="20"/>
          <w:szCs w:val="20"/>
        </w:rPr>
        <w:t xml:space="preserve">Francis, Diebold, and Kamil Yilmaz. 2012. "Better to give than to receive: Predictive directional measurement of volatility spillovers." </w:t>
      </w:r>
      <w:r w:rsidR="00B23704" w:rsidRPr="00B23704">
        <w:rPr>
          <w:i/>
          <w:iCs/>
          <w:noProof/>
          <w:sz w:val="20"/>
          <w:szCs w:val="20"/>
        </w:rPr>
        <w:t>International Journal of Forecasting</w:t>
      </w:r>
      <w:r w:rsidR="00B23704" w:rsidRPr="00B23704">
        <w:rPr>
          <w:noProof/>
          <w:sz w:val="20"/>
          <w:szCs w:val="20"/>
        </w:rPr>
        <w:t xml:space="preserve"> 57-66.</w:t>
      </w:r>
    </w:p>
  </w:footnote>
  <w:footnote w:id="7">
    <w:p w:rsidR="00475DDB" w:rsidRPr="00B23704" w:rsidRDefault="00475DDB" w:rsidP="00B23704">
      <w:pPr>
        <w:pStyle w:val="Bibliography"/>
        <w:spacing w:line="276" w:lineRule="auto"/>
        <w:ind w:left="720" w:hanging="720"/>
        <w:rPr>
          <w:noProof/>
          <w:sz w:val="20"/>
          <w:szCs w:val="20"/>
        </w:rPr>
      </w:pPr>
      <w:r>
        <w:rPr>
          <w:rStyle w:val="FootnoteReference"/>
        </w:rPr>
        <w:footnoteRef/>
      </w:r>
      <w:r w:rsidR="00B23704">
        <w:t xml:space="preserve"> </w:t>
      </w:r>
      <w:r w:rsidR="00B23704" w:rsidRPr="00B23704">
        <w:rPr>
          <w:noProof/>
          <w:sz w:val="20"/>
          <w:szCs w:val="20"/>
        </w:rPr>
        <w:t xml:space="preserve">Barunik, Jozef, and Thomas Krehlik. 2016. </w:t>
      </w:r>
      <w:r w:rsidR="00B23704" w:rsidRPr="00B23704">
        <w:rPr>
          <w:i/>
          <w:iCs/>
          <w:noProof/>
          <w:sz w:val="20"/>
          <w:szCs w:val="20"/>
        </w:rPr>
        <w:t>Measuring the frequency dynamics of financial and macroeconomic connectedness.</w:t>
      </w:r>
      <w:r w:rsidR="00B23704" w:rsidRPr="00B23704">
        <w:rPr>
          <w:noProof/>
          <w:sz w:val="20"/>
          <w:szCs w:val="20"/>
        </w:rPr>
        <w:t xml:space="preserve"> </w:t>
      </w:r>
    </w:p>
  </w:footnote>
  <w:footnote w:id="8">
    <w:p w:rsidR="00D30AE1" w:rsidRPr="00B23704" w:rsidRDefault="00D30AE1" w:rsidP="00B23704">
      <w:pPr>
        <w:pStyle w:val="Bibliography"/>
        <w:ind w:left="720" w:hanging="720"/>
        <w:rPr>
          <w:noProof/>
          <w:sz w:val="20"/>
          <w:szCs w:val="20"/>
        </w:rPr>
      </w:pPr>
      <w:r w:rsidRPr="00B23704">
        <w:rPr>
          <w:rStyle w:val="FootnoteReference"/>
          <w:sz w:val="20"/>
          <w:szCs w:val="20"/>
        </w:rPr>
        <w:footnoteRef/>
      </w:r>
      <w:r w:rsidRPr="00B23704">
        <w:rPr>
          <w:sz w:val="20"/>
          <w:szCs w:val="20"/>
        </w:rPr>
        <w:t xml:space="preserve"> </w:t>
      </w:r>
      <w:r w:rsidR="00B23704" w:rsidRPr="00B23704">
        <w:rPr>
          <w:noProof/>
          <w:sz w:val="20"/>
          <w:szCs w:val="20"/>
        </w:rPr>
        <w:t xml:space="preserve">Corbet, Shaen, Andrew Meegan, Charles Larkin, Brian Lucey, and Larisa Yarovaya. 2018. "Exploring the Dynamic Relationships between Cryptocurrencies and Other financial Assets." </w:t>
      </w:r>
      <w:r w:rsidR="00B23704" w:rsidRPr="00B23704">
        <w:rPr>
          <w:i/>
          <w:iCs/>
          <w:noProof/>
          <w:sz w:val="20"/>
          <w:szCs w:val="20"/>
        </w:rPr>
        <w:t>Economics Letters.</w:t>
      </w:r>
      <w:r w:rsidR="00B23704" w:rsidRPr="00B23704">
        <w:rPr>
          <w:noProof/>
          <w:sz w:val="20"/>
          <w:szCs w:val="20"/>
        </w:rPr>
        <w:t xml:space="preserve"> </w:t>
      </w:r>
    </w:p>
  </w:footnote>
  <w:footnote w:id="9">
    <w:p w:rsidR="00B23704" w:rsidRPr="00B23704" w:rsidRDefault="00B23704" w:rsidP="00B23704">
      <w:pPr>
        <w:pStyle w:val="Bibliography"/>
        <w:ind w:left="720" w:hanging="720"/>
        <w:rPr>
          <w:noProof/>
          <w:sz w:val="20"/>
          <w:szCs w:val="20"/>
        </w:rPr>
      </w:pPr>
      <w:r w:rsidRPr="00B23704">
        <w:rPr>
          <w:rStyle w:val="FootnoteReference"/>
          <w:sz w:val="20"/>
          <w:szCs w:val="20"/>
        </w:rPr>
        <w:footnoteRef/>
      </w:r>
      <w:r w:rsidRPr="00B23704">
        <w:rPr>
          <w:sz w:val="20"/>
          <w:szCs w:val="20"/>
        </w:rPr>
        <w:t xml:space="preserve"> </w:t>
      </w:r>
      <w:r w:rsidRPr="00B23704">
        <w:rPr>
          <w:noProof/>
          <w:sz w:val="20"/>
          <w:szCs w:val="20"/>
        </w:rPr>
        <w:t xml:space="preserve">Liu, Yukun, and Aleh Tsyvinski. 2018. "Risks and Returns of Cryptocurrency." </w:t>
      </w:r>
      <w:r w:rsidRPr="00B23704">
        <w:rPr>
          <w:i/>
          <w:iCs/>
          <w:noProof/>
          <w:sz w:val="20"/>
          <w:szCs w:val="20"/>
        </w:rPr>
        <w:t>NBER Working Paper Series.</w:t>
      </w:r>
      <w:r w:rsidRPr="00B23704">
        <w:rPr>
          <w:noProof/>
          <w:sz w:val="20"/>
          <w:szCs w:val="20"/>
        </w:rPr>
        <w:t xml:space="preserve"> National Bureau of Economic Research, August.</w:t>
      </w:r>
    </w:p>
    <w:p w:rsidR="00B23704" w:rsidRDefault="00B23704">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AE4" w:rsidRDefault="00273650" w:rsidP="00045C5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97AE4" w:rsidRDefault="006B4807" w:rsidP="00B97AE4">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AE4" w:rsidRDefault="00273650" w:rsidP="00045C5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B97AE4" w:rsidRDefault="00273650" w:rsidP="00B97AE4">
    <w:pPr>
      <w:pStyle w:val="Header"/>
      <w:ind w:right="360"/>
      <w:jc w:val="right"/>
    </w:pPr>
    <w:r>
      <w:t>Christensen</w:t>
    </w:r>
    <w:r w:rsidR="00F4740F">
      <w:t xml:space="preserve"> and Jensen</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7AE4" w:rsidRDefault="006B4807" w:rsidP="00B97AE4">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410FCA"/>
    <w:multiLevelType w:val="hybridMultilevel"/>
    <w:tmpl w:val="28A25D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5B28D3"/>
    <w:multiLevelType w:val="hybridMultilevel"/>
    <w:tmpl w:val="ABE4F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FB6"/>
    <w:rsid w:val="000C6EFD"/>
    <w:rsid w:val="000F7B43"/>
    <w:rsid w:val="001803D0"/>
    <w:rsid w:val="001B6644"/>
    <w:rsid w:val="0020165B"/>
    <w:rsid w:val="00273650"/>
    <w:rsid w:val="00280FD6"/>
    <w:rsid w:val="002E2296"/>
    <w:rsid w:val="00340943"/>
    <w:rsid w:val="003755BA"/>
    <w:rsid w:val="003E4C63"/>
    <w:rsid w:val="00417FB6"/>
    <w:rsid w:val="00475DDB"/>
    <w:rsid w:val="006B4807"/>
    <w:rsid w:val="0076295B"/>
    <w:rsid w:val="007F7FBA"/>
    <w:rsid w:val="009039E5"/>
    <w:rsid w:val="00931B02"/>
    <w:rsid w:val="00932755"/>
    <w:rsid w:val="00984BCC"/>
    <w:rsid w:val="00A61E52"/>
    <w:rsid w:val="00A91DCF"/>
    <w:rsid w:val="00AA3ED6"/>
    <w:rsid w:val="00AE6F0F"/>
    <w:rsid w:val="00B23704"/>
    <w:rsid w:val="00B53281"/>
    <w:rsid w:val="00C07240"/>
    <w:rsid w:val="00C347C2"/>
    <w:rsid w:val="00C53819"/>
    <w:rsid w:val="00D30AE1"/>
    <w:rsid w:val="00DC6703"/>
    <w:rsid w:val="00E9291C"/>
    <w:rsid w:val="00F47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46CE0F"/>
  <w15:chartTrackingRefBased/>
  <w15:docId w15:val="{25074B36-51D7-8747-8156-D670455FF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7FB6"/>
    <w:rPr>
      <w:rFonts w:ascii="Times New Roman" w:hAnsi="Times New Roman" w:cs="Times New Roman"/>
    </w:rPr>
  </w:style>
  <w:style w:type="paragraph" w:styleId="Heading1">
    <w:name w:val="heading 1"/>
    <w:basedOn w:val="Normal"/>
    <w:next w:val="Normal"/>
    <w:link w:val="Heading1Char"/>
    <w:uiPriority w:val="9"/>
    <w:qFormat/>
    <w:rsid w:val="00A61E52"/>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FB6"/>
    <w:pPr>
      <w:ind w:left="720"/>
      <w:contextualSpacing/>
    </w:pPr>
    <w:rPr>
      <w:rFonts w:ascii="Calibri" w:hAnsi="Calibri"/>
      <w:sz w:val="22"/>
      <w:szCs w:val="22"/>
    </w:rPr>
  </w:style>
  <w:style w:type="paragraph" w:styleId="Header">
    <w:name w:val="header"/>
    <w:basedOn w:val="Normal"/>
    <w:link w:val="HeaderChar"/>
    <w:uiPriority w:val="99"/>
    <w:unhideWhenUsed/>
    <w:rsid w:val="00417FB6"/>
    <w:pPr>
      <w:tabs>
        <w:tab w:val="center" w:pos="4680"/>
        <w:tab w:val="right" w:pos="9360"/>
      </w:tabs>
    </w:pPr>
  </w:style>
  <w:style w:type="character" w:customStyle="1" w:styleId="HeaderChar">
    <w:name w:val="Header Char"/>
    <w:basedOn w:val="DefaultParagraphFont"/>
    <w:link w:val="Header"/>
    <w:uiPriority w:val="99"/>
    <w:rsid w:val="00417FB6"/>
    <w:rPr>
      <w:rFonts w:ascii="Times New Roman" w:hAnsi="Times New Roman" w:cs="Times New Roman"/>
    </w:rPr>
  </w:style>
  <w:style w:type="character" w:styleId="PageNumber">
    <w:name w:val="page number"/>
    <w:basedOn w:val="DefaultParagraphFont"/>
    <w:uiPriority w:val="99"/>
    <w:semiHidden/>
    <w:unhideWhenUsed/>
    <w:rsid w:val="00417FB6"/>
  </w:style>
  <w:style w:type="paragraph" w:styleId="NormalWeb">
    <w:name w:val="Normal (Web)"/>
    <w:basedOn w:val="Normal"/>
    <w:uiPriority w:val="99"/>
    <w:unhideWhenUsed/>
    <w:rsid w:val="00280FD6"/>
    <w:pPr>
      <w:spacing w:before="100" w:beforeAutospacing="1" w:after="100" w:afterAutospacing="1"/>
    </w:pPr>
  </w:style>
  <w:style w:type="character" w:customStyle="1" w:styleId="apple-converted-space">
    <w:name w:val="apple-converted-space"/>
    <w:basedOn w:val="DefaultParagraphFont"/>
    <w:rsid w:val="00280FD6"/>
  </w:style>
  <w:style w:type="character" w:styleId="Hyperlink">
    <w:name w:val="Hyperlink"/>
    <w:basedOn w:val="DefaultParagraphFont"/>
    <w:uiPriority w:val="99"/>
    <w:semiHidden/>
    <w:unhideWhenUsed/>
    <w:rsid w:val="00280FD6"/>
    <w:rPr>
      <w:color w:val="0000FF"/>
      <w:u w:val="single"/>
    </w:rPr>
  </w:style>
  <w:style w:type="character" w:styleId="FootnoteReference">
    <w:name w:val="footnote reference"/>
    <w:basedOn w:val="DefaultParagraphFont"/>
    <w:uiPriority w:val="99"/>
    <w:unhideWhenUsed/>
    <w:rsid w:val="00280FD6"/>
    <w:rPr>
      <w:vertAlign w:val="superscript"/>
    </w:rPr>
  </w:style>
  <w:style w:type="character" w:styleId="FollowedHyperlink">
    <w:name w:val="FollowedHyperlink"/>
    <w:basedOn w:val="DefaultParagraphFont"/>
    <w:uiPriority w:val="99"/>
    <w:semiHidden/>
    <w:unhideWhenUsed/>
    <w:rsid w:val="00280FD6"/>
    <w:rPr>
      <w:color w:val="954F72" w:themeColor="followedHyperlink"/>
      <w:u w:val="single"/>
    </w:rPr>
  </w:style>
  <w:style w:type="paragraph" w:styleId="Footer">
    <w:name w:val="footer"/>
    <w:basedOn w:val="Normal"/>
    <w:link w:val="FooterChar"/>
    <w:uiPriority w:val="99"/>
    <w:unhideWhenUsed/>
    <w:rsid w:val="00F4740F"/>
    <w:pPr>
      <w:tabs>
        <w:tab w:val="center" w:pos="4680"/>
        <w:tab w:val="right" w:pos="9360"/>
      </w:tabs>
    </w:pPr>
  </w:style>
  <w:style w:type="character" w:customStyle="1" w:styleId="FooterChar">
    <w:name w:val="Footer Char"/>
    <w:basedOn w:val="DefaultParagraphFont"/>
    <w:link w:val="Footer"/>
    <w:uiPriority w:val="99"/>
    <w:rsid w:val="00F4740F"/>
    <w:rPr>
      <w:rFonts w:ascii="Times New Roman" w:hAnsi="Times New Roman" w:cs="Times New Roman"/>
    </w:rPr>
  </w:style>
  <w:style w:type="paragraph" w:styleId="FootnoteText">
    <w:name w:val="footnote text"/>
    <w:basedOn w:val="Normal"/>
    <w:link w:val="FootnoteTextChar"/>
    <w:uiPriority w:val="99"/>
    <w:semiHidden/>
    <w:unhideWhenUsed/>
    <w:rsid w:val="00C53819"/>
    <w:rPr>
      <w:sz w:val="20"/>
      <w:szCs w:val="20"/>
    </w:rPr>
  </w:style>
  <w:style w:type="character" w:customStyle="1" w:styleId="FootnoteTextChar">
    <w:name w:val="Footnote Text Char"/>
    <w:basedOn w:val="DefaultParagraphFont"/>
    <w:link w:val="FootnoteText"/>
    <w:uiPriority w:val="99"/>
    <w:semiHidden/>
    <w:rsid w:val="00C53819"/>
    <w:rPr>
      <w:rFonts w:ascii="Times New Roman" w:hAnsi="Times New Roman" w:cs="Times New Roman"/>
      <w:sz w:val="20"/>
      <w:szCs w:val="20"/>
    </w:rPr>
  </w:style>
  <w:style w:type="character" w:styleId="PlaceholderText">
    <w:name w:val="Placeholder Text"/>
    <w:basedOn w:val="DefaultParagraphFont"/>
    <w:uiPriority w:val="99"/>
    <w:semiHidden/>
    <w:rsid w:val="00C53819"/>
    <w:rPr>
      <w:color w:val="808080"/>
    </w:rPr>
  </w:style>
  <w:style w:type="character" w:customStyle="1" w:styleId="Heading1Char">
    <w:name w:val="Heading 1 Char"/>
    <w:basedOn w:val="DefaultParagraphFont"/>
    <w:link w:val="Heading1"/>
    <w:uiPriority w:val="9"/>
    <w:rsid w:val="00A61E52"/>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A61E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7848">
      <w:bodyDiv w:val="1"/>
      <w:marLeft w:val="0"/>
      <w:marRight w:val="0"/>
      <w:marTop w:val="0"/>
      <w:marBottom w:val="0"/>
      <w:divBdr>
        <w:top w:val="none" w:sz="0" w:space="0" w:color="auto"/>
        <w:left w:val="none" w:sz="0" w:space="0" w:color="auto"/>
        <w:bottom w:val="none" w:sz="0" w:space="0" w:color="auto"/>
        <w:right w:val="none" w:sz="0" w:space="0" w:color="auto"/>
      </w:divBdr>
    </w:div>
    <w:div w:id="367876355">
      <w:bodyDiv w:val="1"/>
      <w:marLeft w:val="0"/>
      <w:marRight w:val="0"/>
      <w:marTop w:val="0"/>
      <w:marBottom w:val="0"/>
      <w:divBdr>
        <w:top w:val="none" w:sz="0" w:space="0" w:color="auto"/>
        <w:left w:val="none" w:sz="0" w:space="0" w:color="auto"/>
        <w:bottom w:val="none" w:sz="0" w:space="0" w:color="auto"/>
        <w:right w:val="none" w:sz="0" w:space="0" w:color="auto"/>
      </w:divBdr>
    </w:div>
    <w:div w:id="463156356">
      <w:bodyDiv w:val="1"/>
      <w:marLeft w:val="0"/>
      <w:marRight w:val="0"/>
      <w:marTop w:val="0"/>
      <w:marBottom w:val="0"/>
      <w:divBdr>
        <w:top w:val="none" w:sz="0" w:space="0" w:color="auto"/>
        <w:left w:val="none" w:sz="0" w:space="0" w:color="auto"/>
        <w:bottom w:val="none" w:sz="0" w:space="0" w:color="auto"/>
        <w:right w:val="none" w:sz="0" w:space="0" w:color="auto"/>
      </w:divBdr>
    </w:div>
    <w:div w:id="532888973">
      <w:bodyDiv w:val="1"/>
      <w:marLeft w:val="0"/>
      <w:marRight w:val="0"/>
      <w:marTop w:val="0"/>
      <w:marBottom w:val="0"/>
      <w:divBdr>
        <w:top w:val="none" w:sz="0" w:space="0" w:color="auto"/>
        <w:left w:val="none" w:sz="0" w:space="0" w:color="auto"/>
        <w:bottom w:val="none" w:sz="0" w:space="0" w:color="auto"/>
        <w:right w:val="none" w:sz="0" w:space="0" w:color="auto"/>
      </w:divBdr>
    </w:div>
    <w:div w:id="536625408">
      <w:bodyDiv w:val="1"/>
      <w:marLeft w:val="0"/>
      <w:marRight w:val="0"/>
      <w:marTop w:val="0"/>
      <w:marBottom w:val="0"/>
      <w:divBdr>
        <w:top w:val="none" w:sz="0" w:space="0" w:color="auto"/>
        <w:left w:val="none" w:sz="0" w:space="0" w:color="auto"/>
        <w:bottom w:val="none" w:sz="0" w:space="0" w:color="auto"/>
        <w:right w:val="none" w:sz="0" w:space="0" w:color="auto"/>
      </w:divBdr>
    </w:div>
    <w:div w:id="644238925">
      <w:bodyDiv w:val="1"/>
      <w:marLeft w:val="0"/>
      <w:marRight w:val="0"/>
      <w:marTop w:val="0"/>
      <w:marBottom w:val="0"/>
      <w:divBdr>
        <w:top w:val="none" w:sz="0" w:space="0" w:color="auto"/>
        <w:left w:val="none" w:sz="0" w:space="0" w:color="auto"/>
        <w:bottom w:val="none" w:sz="0" w:space="0" w:color="auto"/>
        <w:right w:val="none" w:sz="0" w:space="0" w:color="auto"/>
      </w:divBdr>
    </w:div>
    <w:div w:id="793451135">
      <w:bodyDiv w:val="1"/>
      <w:marLeft w:val="0"/>
      <w:marRight w:val="0"/>
      <w:marTop w:val="0"/>
      <w:marBottom w:val="0"/>
      <w:divBdr>
        <w:top w:val="none" w:sz="0" w:space="0" w:color="auto"/>
        <w:left w:val="none" w:sz="0" w:space="0" w:color="auto"/>
        <w:bottom w:val="none" w:sz="0" w:space="0" w:color="auto"/>
        <w:right w:val="none" w:sz="0" w:space="0" w:color="auto"/>
      </w:divBdr>
    </w:div>
    <w:div w:id="874851057">
      <w:bodyDiv w:val="1"/>
      <w:marLeft w:val="0"/>
      <w:marRight w:val="0"/>
      <w:marTop w:val="0"/>
      <w:marBottom w:val="0"/>
      <w:divBdr>
        <w:top w:val="none" w:sz="0" w:space="0" w:color="auto"/>
        <w:left w:val="none" w:sz="0" w:space="0" w:color="auto"/>
        <w:bottom w:val="none" w:sz="0" w:space="0" w:color="auto"/>
        <w:right w:val="none" w:sz="0" w:space="0" w:color="auto"/>
      </w:divBdr>
    </w:div>
    <w:div w:id="952790291">
      <w:bodyDiv w:val="1"/>
      <w:marLeft w:val="0"/>
      <w:marRight w:val="0"/>
      <w:marTop w:val="0"/>
      <w:marBottom w:val="0"/>
      <w:divBdr>
        <w:top w:val="none" w:sz="0" w:space="0" w:color="auto"/>
        <w:left w:val="none" w:sz="0" w:space="0" w:color="auto"/>
        <w:bottom w:val="none" w:sz="0" w:space="0" w:color="auto"/>
        <w:right w:val="none" w:sz="0" w:space="0" w:color="auto"/>
      </w:divBdr>
    </w:div>
    <w:div w:id="977301585">
      <w:bodyDiv w:val="1"/>
      <w:marLeft w:val="0"/>
      <w:marRight w:val="0"/>
      <w:marTop w:val="0"/>
      <w:marBottom w:val="0"/>
      <w:divBdr>
        <w:top w:val="none" w:sz="0" w:space="0" w:color="auto"/>
        <w:left w:val="none" w:sz="0" w:space="0" w:color="auto"/>
        <w:bottom w:val="none" w:sz="0" w:space="0" w:color="auto"/>
        <w:right w:val="none" w:sz="0" w:space="0" w:color="auto"/>
      </w:divBdr>
    </w:div>
    <w:div w:id="1000694778">
      <w:bodyDiv w:val="1"/>
      <w:marLeft w:val="0"/>
      <w:marRight w:val="0"/>
      <w:marTop w:val="0"/>
      <w:marBottom w:val="0"/>
      <w:divBdr>
        <w:top w:val="none" w:sz="0" w:space="0" w:color="auto"/>
        <w:left w:val="none" w:sz="0" w:space="0" w:color="auto"/>
        <w:bottom w:val="none" w:sz="0" w:space="0" w:color="auto"/>
        <w:right w:val="none" w:sz="0" w:space="0" w:color="auto"/>
      </w:divBdr>
    </w:div>
    <w:div w:id="1058212238">
      <w:bodyDiv w:val="1"/>
      <w:marLeft w:val="0"/>
      <w:marRight w:val="0"/>
      <w:marTop w:val="0"/>
      <w:marBottom w:val="0"/>
      <w:divBdr>
        <w:top w:val="none" w:sz="0" w:space="0" w:color="auto"/>
        <w:left w:val="none" w:sz="0" w:space="0" w:color="auto"/>
        <w:bottom w:val="none" w:sz="0" w:space="0" w:color="auto"/>
        <w:right w:val="none" w:sz="0" w:space="0" w:color="auto"/>
      </w:divBdr>
    </w:div>
    <w:div w:id="1116828194">
      <w:bodyDiv w:val="1"/>
      <w:marLeft w:val="0"/>
      <w:marRight w:val="0"/>
      <w:marTop w:val="0"/>
      <w:marBottom w:val="0"/>
      <w:divBdr>
        <w:top w:val="none" w:sz="0" w:space="0" w:color="auto"/>
        <w:left w:val="none" w:sz="0" w:space="0" w:color="auto"/>
        <w:bottom w:val="none" w:sz="0" w:space="0" w:color="auto"/>
        <w:right w:val="none" w:sz="0" w:space="0" w:color="auto"/>
      </w:divBdr>
    </w:div>
    <w:div w:id="1185361306">
      <w:bodyDiv w:val="1"/>
      <w:marLeft w:val="0"/>
      <w:marRight w:val="0"/>
      <w:marTop w:val="0"/>
      <w:marBottom w:val="0"/>
      <w:divBdr>
        <w:top w:val="none" w:sz="0" w:space="0" w:color="auto"/>
        <w:left w:val="none" w:sz="0" w:space="0" w:color="auto"/>
        <w:bottom w:val="none" w:sz="0" w:space="0" w:color="auto"/>
        <w:right w:val="none" w:sz="0" w:space="0" w:color="auto"/>
      </w:divBdr>
    </w:div>
    <w:div w:id="1290092495">
      <w:bodyDiv w:val="1"/>
      <w:marLeft w:val="0"/>
      <w:marRight w:val="0"/>
      <w:marTop w:val="0"/>
      <w:marBottom w:val="0"/>
      <w:divBdr>
        <w:top w:val="none" w:sz="0" w:space="0" w:color="auto"/>
        <w:left w:val="none" w:sz="0" w:space="0" w:color="auto"/>
        <w:bottom w:val="none" w:sz="0" w:space="0" w:color="auto"/>
        <w:right w:val="none" w:sz="0" w:space="0" w:color="auto"/>
      </w:divBdr>
    </w:div>
    <w:div w:id="1574003202">
      <w:bodyDiv w:val="1"/>
      <w:marLeft w:val="0"/>
      <w:marRight w:val="0"/>
      <w:marTop w:val="0"/>
      <w:marBottom w:val="0"/>
      <w:divBdr>
        <w:top w:val="none" w:sz="0" w:space="0" w:color="auto"/>
        <w:left w:val="none" w:sz="0" w:space="0" w:color="auto"/>
        <w:bottom w:val="none" w:sz="0" w:space="0" w:color="auto"/>
        <w:right w:val="none" w:sz="0" w:space="0" w:color="auto"/>
      </w:divBdr>
    </w:div>
    <w:div w:id="1575895836">
      <w:bodyDiv w:val="1"/>
      <w:marLeft w:val="0"/>
      <w:marRight w:val="0"/>
      <w:marTop w:val="0"/>
      <w:marBottom w:val="0"/>
      <w:divBdr>
        <w:top w:val="none" w:sz="0" w:space="0" w:color="auto"/>
        <w:left w:val="none" w:sz="0" w:space="0" w:color="auto"/>
        <w:bottom w:val="none" w:sz="0" w:space="0" w:color="auto"/>
        <w:right w:val="none" w:sz="0" w:space="0" w:color="auto"/>
      </w:divBdr>
    </w:div>
    <w:div w:id="1584103407">
      <w:bodyDiv w:val="1"/>
      <w:marLeft w:val="0"/>
      <w:marRight w:val="0"/>
      <w:marTop w:val="0"/>
      <w:marBottom w:val="0"/>
      <w:divBdr>
        <w:top w:val="none" w:sz="0" w:space="0" w:color="auto"/>
        <w:left w:val="none" w:sz="0" w:space="0" w:color="auto"/>
        <w:bottom w:val="none" w:sz="0" w:space="0" w:color="auto"/>
        <w:right w:val="none" w:sz="0" w:space="0" w:color="auto"/>
      </w:divBdr>
    </w:div>
    <w:div w:id="1598900852">
      <w:bodyDiv w:val="1"/>
      <w:marLeft w:val="0"/>
      <w:marRight w:val="0"/>
      <w:marTop w:val="0"/>
      <w:marBottom w:val="0"/>
      <w:divBdr>
        <w:top w:val="none" w:sz="0" w:space="0" w:color="auto"/>
        <w:left w:val="none" w:sz="0" w:space="0" w:color="auto"/>
        <w:bottom w:val="none" w:sz="0" w:space="0" w:color="auto"/>
        <w:right w:val="none" w:sz="0" w:space="0" w:color="auto"/>
      </w:divBdr>
    </w:div>
    <w:div w:id="1621958416">
      <w:bodyDiv w:val="1"/>
      <w:marLeft w:val="0"/>
      <w:marRight w:val="0"/>
      <w:marTop w:val="0"/>
      <w:marBottom w:val="0"/>
      <w:divBdr>
        <w:top w:val="none" w:sz="0" w:space="0" w:color="auto"/>
        <w:left w:val="none" w:sz="0" w:space="0" w:color="auto"/>
        <w:bottom w:val="none" w:sz="0" w:space="0" w:color="auto"/>
        <w:right w:val="none" w:sz="0" w:space="0" w:color="auto"/>
      </w:divBdr>
    </w:div>
    <w:div w:id="1653943929">
      <w:bodyDiv w:val="1"/>
      <w:marLeft w:val="0"/>
      <w:marRight w:val="0"/>
      <w:marTop w:val="0"/>
      <w:marBottom w:val="0"/>
      <w:divBdr>
        <w:top w:val="none" w:sz="0" w:space="0" w:color="auto"/>
        <w:left w:val="none" w:sz="0" w:space="0" w:color="auto"/>
        <w:bottom w:val="none" w:sz="0" w:space="0" w:color="auto"/>
        <w:right w:val="none" w:sz="0" w:space="0" w:color="auto"/>
      </w:divBdr>
    </w:div>
    <w:div w:id="1815101948">
      <w:bodyDiv w:val="1"/>
      <w:marLeft w:val="0"/>
      <w:marRight w:val="0"/>
      <w:marTop w:val="0"/>
      <w:marBottom w:val="0"/>
      <w:divBdr>
        <w:top w:val="none" w:sz="0" w:space="0" w:color="auto"/>
        <w:left w:val="none" w:sz="0" w:space="0" w:color="auto"/>
        <w:bottom w:val="none" w:sz="0" w:space="0" w:color="auto"/>
        <w:right w:val="none" w:sz="0" w:space="0" w:color="auto"/>
      </w:divBdr>
    </w:div>
    <w:div w:id="1841118733">
      <w:bodyDiv w:val="1"/>
      <w:marLeft w:val="0"/>
      <w:marRight w:val="0"/>
      <w:marTop w:val="0"/>
      <w:marBottom w:val="0"/>
      <w:divBdr>
        <w:top w:val="none" w:sz="0" w:space="0" w:color="auto"/>
        <w:left w:val="none" w:sz="0" w:space="0" w:color="auto"/>
        <w:bottom w:val="none" w:sz="0" w:space="0" w:color="auto"/>
        <w:right w:val="none" w:sz="0" w:space="0" w:color="auto"/>
      </w:divBdr>
      <w:divsChild>
        <w:div w:id="935482617">
          <w:marLeft w:val="0"/>
          <w:marRight w:val="0"/>
          <w:marTop w:val="0"/>
          <w:marBottom w:val="0"/>
          <w:divBdr>
            <w:top w:val="none" w:sz="0" w:space="0" w:color="auto"/>
            <w:left w:val="none" w:sz="0" w:space="0" w:color="auto"/>
            <w:bottom w:val="none" w:sz="0" w:space="0" w:color="auto"/>
            <w:right w:val="none" w:sz="0" w:space="0" w:color="auto"/>
          </w:divBdr>
          <w:divsChild>
            <w:div w:id="1842235762">
              <w:marLeft w:val="0"/>
              <w:marRight w:val="0"/>
              <w:marTop w:val="0"/>
              <w:marBottom w:val="0"/>
              <w:divBdr>
                <w:top w:val="none" w:sz="0" w:space="0" w:color="auto"/>
                <w:left w:val="none" w:sz="0" w:space="0" w:color="auto"/>
                <w:bottom w:val="none" w:sz="0" w:space="0" w:color="auto"/>
                <w:right w:val="none" w:sz="0" w:space="0" w:color="auto"/>
              </w:divBdr>
              <w:divsChild>
                <w:div w:id="55288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21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Luc78</b:Tag>
    <b:SourceType>JournalArticle</b:SourceType>
    <b:Guid>{76799B34-DBD3-9A46-B814-3B20FC78AA4B}</b:Guid>
    <b:Title>Asset Prices in an Exchange Economy</b:Title>
    <b:Year>1978</b:Year>
    <b:JournalName>Econometrica</b:JournalName>
    <b:Pages>1429-1445</b:Pages>
    <b:Author>
      <b:Author>
        <b:NameList>
          <b:Person>
            <b:Last>Lucas</b:Last>
            <b:First>Robert</b:First>
            <b:Middle>E.</b:Middle>
          </b:Person>
        </b:NameList>
      </b:Author>
    </b:Author>
    <b:RefOrder>1</b:RefOrder>
  </b:Source>
  <b:Source>
    <b:Tag>Cor18</b:Tag>
    <b:SourceType>JournalArticle</b:SourceType>
    <b:Guid>{E8437E40-C4B1-3F40-ADEC-A8109BFB24D0}</b:Guid>
    <b:Title>Exploring the Dynamic Relationships between Cryptocurrencies and Other financial Assets</b:Title>
    <b:JournalName>Economics Letters</b:JournalName>
    <b:Year>2018</b:Year>
    <b:Author>
      <b:Author>
        <b:NameList>
          <b:Person>
            <b:Last>Corbet</b:Last>
            <b:First>Shaen</b:First>
          </b:Person>
          <b:Person>
            <b:Last>Meegan</b:Last>
            <b:First>Andrew</b:First>
          </b:Person>
          <b:Person>
            <b:Last>Larkin</b:Last>
            <b:First>Charles</b:First>
          </b:Person>
          <b:Person>
            <b:Last>Lucey</b:Last>
            <b:First>Brian</b:First>
          </b:Person>
          <b:Person>
            <b:Last>Yarovaya</b:Last>
            <b:First>Larisa</b:First>
          </b:Person>
        </b:NameList>
      </b:Author>
    </b:Author>
    <b:RefOrder>2</b:RefOrder>
  </b:Source>
  <b:Source>
    <b:Tag>Liu18</b:Tag>
    <b:SourceType>Misc</b:SourceType>
    <b:Guid>{44F5FCDB-A127-954B-B943-0976E099C094}</b:Guid>
    <b:Title>Risks and Returns of Cryptocurrency</b:Title>
    <b:Year>2018</b:Year>
    <b:Publisher>National Bureau of Economic Research</b:Publisher>
    <b:PublicationTitle>NBER Working Paper Series</b:PublicationTitle>
    <b:Month>August</b:Month>
    <b:Author>
      <b:Author>
        <b:NameList>
          <b:Person>
            <b:Last>Liu</b:Last>
            <b:First>Yukun</b:First>
          </b:Person>
          <b:Person>
            <b:Last>Tsyvinski</b:Last>
            <b:First>Aleh</b:First>
          </b:Person>
        </b:NameList>
      </b:Author>
    </b:Author>
    <b:RefOrder>3</b:RefOrder>
  </b:Source>
  <b:Source>
    <b:Tag>Meh03</b:Tag>
    <b:SourceType>Misc</b:SourceType>
    <b:Guid>{5154B7A8-8D79-8745-A327-87DC3A02E3B7}</b:Guid>
    <b:Title>The Equity Premium: Why is it a puzzle? </b:Title>
    <b:PublicationTitle>NBER Working Paper Series</b:PublicationTitle>
    <b:Year>2003</b:Year>
    <b:Month>February</b:Month>
    <b:Publisher>National Bureau of Economic Research</b:Publisher>
    <b:Author>
      <b:Author>
        <b:NameList>
          <b:Person>
            <b:Last>Mehra</b:Last>
            <b:First>Rajinish</b:First>
          </b:Person>
        </b:NameList>
      </b:Author>
    </b:Author>
    <b:RefOrder>4</b:RefOrder>
  </b:Source>
  <b:Source>
    <b:Tag>Bit17</b:Tag>
    <b:SourceType>InternetSite</b:SourceType>
    <b:Guid>{E8A35182-B1D5-724E-B5D0-06CB6C5FE2E3}</b:Guid>
    <b:Title>Bitcoin</b:Title>
    <b:Year>2017</b:Year>
    <b:Month>November</b:Month>
    <b:Day>20</b:Day>
    <b:URL>https://charts.bitcoin.com/chart/price</b:URL>
    <b:YearAccessed>2017</b:YearAccessed>
    <b:MonthAccessed>November </b:MonthAccessed>
    <b:DayAccessed>20</b:DayAccessed>
    <b:RefOrder>5</b:RefOrder>
  </b:Source>
  <b:Source>
    <b:Tag>Cia16</b:Tag>
    <b:SourceType>JournalArticle</b:SourceType>
    <b:Guid>{D4FB7013-DD4F-464B-BBFE-8FA09537916F}</b:Guid>
    <b:Title>The Economics of Bitcoin Price Formation</b:Title>
    <b:Year>2016</b:Year>
    <b:JournalName>Applied Economics</b:JournalName>
    <b:Author>
      <b:Author>
        <b:NameList>
          <b:Person>
            <b:Last>Ciaian</b:Last>
            <b:First>Pavel</b:First>
          </b:Person>
          <b:Person>
            <b:Last>Miroslava</b:Last>
            <b:First>Rajcaniova</b:First>
          </b:Person>
          <b:Person>
            <b:Last>d'Artis</b:Last>
            <b:First>Kancs</b:First>
          </b:Person>
        </b:NameList>
      </b:Author>
    </b:Author>
    <b:RefOrder>6</b:RefOrder>
  </b:Source>
  <b:Source>
    <b:Tag>Pre85</b:Tag>
    <b:SourceType>JournalArticle</b:SourceType>
    <b:Guid>{41E5B67F-F23C-9B4C-9D69-AA566BA8E133}</b:Guid>
    <b:Title>The equity premium: A puzzle</b:Title>
    <b:JournalName>Journal of Monetary Economics </b:JournalName>
    <b:Year>1985</b:Year>
    <b:Pages>145-161</b:Pages>
    <b:Author>
      <b:Author>
        <b:NameList>
          <b:Person>
            <b:Last>Prescott</b:Last>
            <b:First>Edward</b:First>
          </b:Person>
          <b:Person>
            <b:Last>Mehra</b:Last>
            <b:First>Rajnish</b:First>
          </b:Person>
        </b:NameList>
      </b:Author>
    </b:Author>
    <b:RefOrder>7</b:RefOrder>
  </b:Source>
  <b:Source>
    <b:Tag>Nad13</b:Tag>
    <b:SourceType>ConferenceProceedings</b:SourceType>
    <b:Guid>{0F0C92A2-ECCB-5044-975A-F5407D797408}</b:Guid>
    <b:Title>Equity Premium Puzzle: Not solved yet. </b:Title>
    <b:Year>2013</b:Year>
    <b:Pages>48-61</b:Pages>
    <b:ConferenceName>International Conference on Economics and Business Administration</b:ConferenceName>
    <b:Author>
      <b:Author>
        <b:NameList>
          <b:Person>
            <b:Last>Nada</b:Last>
            <b:First>Sara</b:First>
          </b:Person>
        </b:NameList>
      </b:Author>
    </b:Author>
    <b:RefOrder>8</b:RefOrder>
  </b:Source>
  <b:Source>
    <b:Tag>Fra12</b:Tag>
    <b:SourceType>JournalArticle</b:SourceType>
    <b:Guid>{1FDC77F5-BBC6-EC44-A20A-E3CC00CA278B}</b:Guid>
    <b:Title>Better to give than to receive: Predictive directional measurement of volatility spillovers</b:Title>
    <b:JournalName>International Journal of Forecasting</b:JournalName>
    <b:Year>2012</b:Year>
    <b:Pages>57-66</b:Pages>
    <b:Author>
      <b:Author>
        <b:NameList>
          <b:Person>
            <b:Last>Francis</b:Last>
            <b:First>Diebold</b:First>
          </b:Person>
          <b:Person>
            <b:Last>Yilmaz</b:Last>
            <b:First>Kamil</b:First>
          </b:Person>
        </b:NameList>
      </b:Author>
    </b:Author>
    <b:RefOrder>9</b:RefOrder>
  </b:Source>
  <b:Source>
    <b:Tag>Bar16</b:Tag>
    <b:SourceType>ElectronicSource</b:SourceType>
    <b:Guid>{D5C0C712-46CB-F942-961E-6184E99393AC}</b:Guid>
    <b:Title>Measuring the frequency dynamics of financial and macroeconomic connectedness</b:Title>
    <b:Year>2016</b:Year>
    <b:Author>
      <b:Author>
        <b:NameList>
          <b:Person>
            <b:Last>Barunik</b:Last>
            <b:First>Jozef</b:First>
          </b:Person>
          <b:Person>
            <b:Last>Krehlik</b:Last>
            <b:First>Thomas</b:First>
          </b:Person>
        </b:NameList>
      </b:Author>
    </b:Author>
    <b:RefOrder>10</b:RefOrder>
  </b:Source>
  <b:Source>
    <b:Tag>Van17</b:Tag>
    <b:SourceType>JournalArticle</b:SourceType>
    <b:Guid>{9205E6B9-403A-4949-8330-740B5F304417}</b:Guid>
    <b:Title>Virtual currencies under EU anti-money laundering law</b:Title>
    <b:Year>2017</b:Year>
    <b:Author>
      <b:Author>
        <b:NameList>
          <b:Person>
            <b:Last>Vandezande</b:Last>
            <b:First>Niels</b:First>
          </b:Person>
        </b:NameList>
      </b:Author>
    </b:Author>
    <b:JournalName>Computer Law &amp; Security Review</b:JournalName>
    <b:Pages>341-353</b:Pages>
    <b:RefOrder>11</b:RefOrder>
  </b:Source>
</b:Sources>
</file>

<file path=customXml/itemProps1.xml><?xml version="1.0" encoding="utf-8"?>
<ds:datastoreItem xmlns:ds="http://schemas.openxmlformats.org/officeDocument/2006/customXml" ds:itemID="{17575842-1862-D940-BC85-063FC2E10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5</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Christensen</dc:creator>
  <cp:keywords/>
  <dc:description/>
  <cp:lastModifiedBy>Jenna Christensen</cp:lastModifiedBy>
  <cp:revision>12</cp:revision>
  <dcterms:created xsi:type="dcterms:W3CDTF">2019-02-05T16:18:00Z</dcterms:created>
  <dcterms:modified xsi:type="dcterms:W3CDTF">2019-02-08T19:10:00Z</dcterms:modified>
</cp:coreProperties>
</file>