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color w:val="008999"/>
          <w:sz w:val="15"/>
        </w:rPr>
        <w:t>KAPPA FOUNDATION  /  INVESTMENT COMMITTEE</w:t>
      </w:r>
    </w:p>
    <w:p>
      <w:pPr>
        <w:pStyle w:val="Title"/>
        <w:spacing w:before="0" w:after="40" w:line="240" w:lineRule="auto"/>
      </w:pPr>
      <w:r>
        <w:rPr>
          <w:rFonts w:ascii="Arial" w:hAnsi="Arial"/>
          <w:b/>
          <w:i w:val="0"/>
          <w:color w:val="002A54"/>
          <w:sz w:val="37"/>
        </w:rPr>
        <w:t>Initial decision record</w:t>
      </w:r>
    </w:p>
    <w:p>
      <w:pPr>
        <w:spacing w:before="0" w:after="120" w:line="240" w:lineRule="auto"/>
      </w:pPr>
      <w:r>
        <w:rPr>
          <w:rFonts w:ascii="Arial" w:hAnsi="Arial"/>
          <w:b w:val="0"/>
          <w:i w:val="0"/>
          <w:color w:val="5A6B7C"/>
          <w:sz w:val="16"/>
        </w:rPr>
        <w:t>USD  |  Case date 31 December 2022  |  Initial submission 22 October 2026</w:t>
      </w:r>
    </w:p>
    <w:p>
      <w:pPr>
        <w:spacing w:before="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INVESTMENT OBJECTIVE AND POLICY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Meet the fixed education commitments first and protect long-term purchasing power. Invest surplus capital within the fund's capacity for risk. The end-2030 goal is USD 8m in December 2022 purchasing power; it is a goal, not a promised return. Changes require evidence about obligations, resources and assets.</w:t>
      </w:r>
    </w:p>
    <w:p>
      <w:pPr>
        <w:spacing w:before="8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INITIAL CAPITAL ALLOCATION</w:t>
      </w:r>
    </w:p>
    <w:p>
      <w:r>
        <w:drawing>
          <wp:inline xmlns:a="http://schemas.openxmlformats.org/drawingml/2006/main" xmlns:pic="http://schemas.openxmlformats.org/drawingml/2006/picture">
            <wp:extent cx="6372000" cy="1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color w:val="002A54"/>
          <w:sz w:val="14"/>
        </w:rPr>
        <w:t xml:space="preserve">● </w:t>
      </w:r>
      <w:r>
        <w:rPr>
          <w:rFonts w:ascii="Arial" w:hAnsi="Arial"/>
          <w:b w:val="0"/>
          <w:i w:val="0"/>
          <w:color w:val="5A6B7C"/>
          <w:sz w:val="14"/>
        </w:rPr>
        <w:t xml:space="preserve">Beta 18.46%     </w:t>
      </w:r>
      <w:r>
        <w:rPr>
          <w:rFonts w:ascii="Arial" w:hAnsi="Arial"/>
          <w:b w:val="0"/>
          <w:i w:val="0"/>
          <w:color w:val="0072CE"/>
          <w:sz w:val="14"/>
        </w:rPr>
        <w:t xml:space="preserve">● </w:t>
      </w:r>
      <w:r>
        <w:rPr>
          <w:rFonts w:ascii="Arial" w:hAnsi="Arial"/>
          <w:b w:val="0"/>
          <w:i w:val="0"/>
          <w:color w:val="5A6B7C"/>
          <w:sz w:val="14"/>
        </w:rPr>
        <w:t xml:space="preserve">Delta 28.58%     </w:t>
      </w:r>
      <w:r>
        <w:rPr>
          <w:rFonts w:ascii="Arial" w:hAnsi="Arial"/>
          <w:b w:val="0"/>
          <w:i w:val="0"/>
          <w:color w:val="008999"/>
          <w:sz w:val="14"/>
        </w:rPr>
        <w:t xml:space="preserve">● </w:t>
      </w:r>
      <w:r>
        <w:rPr>
          <w:rFonts w:ascii="Arial" w:hAnsi="Arial"/>
          <w:b w:val="0"/>
          <w:i w:val="0"/>
          <w:color w:val="5A6B7C"/>
          <w:sz w:val="14"/>
        </w:rPr>
        <w:t xml:space="preserve">USMV 52.89%     </w:t>
      </w:r>
      <w:r>
        <w:rPr>
          <w:rFonts w:ascii="Arial" w:hAnsi="Arial"/>
          <w:b w:val="0"/>
          <w:i w:val="0"/>
          <w:color w:val="CBD6DF"/>
          <w:sz w:val="14"/>
        </w:rPr>
        <w:t xml:space="preserve">● </w:t>
      </w:r>
      <w:r>
        <w:rPr>
          <w:rFonts w:ascii="Arial" w:hAnsi="Arial"/>
          <w:b w:val="0"/>
          <w:i w:val="0"/>
          <w:color w:val="5A6B7C"/>
          <w:sz w:val="14"/>
        </w:rPr>
        <w:t xml:space="preserve">Costs 0.08%    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628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HOLDING / USE</w:t>
            </w:r>
          </w:p>
        </w:tc>
        <w:tc>
          <w:tcPr>
            <w:tcW w:type="dxa" w:w="2778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UNITS / BASIS</w:t>
            </w:r>
          </w:p>
        </w:tc>
        <w:tc>
          <w:tcPr>
            <w:tcW w:type="dxa" w:w="3742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INITIAL USD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Beta | 2024</w:t>
            </w:r>
          </w:p>
        </w:tc>
        <w:tc>
          <w:tcPr>
            <w:tcW w:type="dxa" w:w="277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2,400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2,214,672.00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Delta | 2027</w:t>
            </w:r>
          </w:p>
        </w:tc>
        <w:tc>
          <w:tcPr>
            <w:tcW w:type="dxa" w:w="277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3,478.26087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3,429,808.70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USMV</w:t>
            </w:r>
          </w:p>
        </w:tc>
        <w:tc>
          <w:tcPr>
            <w:tcW w:type="dxa" w:w="277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100% of sleeve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6,346,350.71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Trading costs</w:t>
            </w:r>
          </w:p>
        </w:tc>
        <w:tc>
          <w:tcPr>
            <w:tcW w:type="dxa" w:w="277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5 / 10bp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9,168.59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Total</w:t>
            </w:r>
          </w:p>
        </w:tc>
        <w:tc>
          <w:tcPr>
            <w:tcW w:type="dxa" w:w="277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12,000,000.00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case Exhibit 1; Kappa model; USD, fees separate; percentages rounded.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Beta principal pays $2.4m on 31 Dec 2024. Delta principal and final coupon pay $3.6m on 31 Dec 2027. Four earlier Delta coupons total $486,957 and remain cash at 0%; payment coverage needs no equity sale or reinvestment return.</w:t>
      </w:r>
    </w:p>
    <w:p>
      <w:pPr>
        <w:spacing w:before="8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GROWTH PORTFOLIO DECISION</w:t>
      </w:r>
    </w:p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Recommend 100% USMV, the US minimum-volatility ETF. Use 100% VTI, a broad-US-market ETF, as the frozen investable benchmark and credible rejected alternative.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3402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ANNUAL MEASURE</w:t>
            </w:r>
          </w:p>
        </w:tc>
        <w:tc>
          <w:tcPr>
            <w:tcW w:type="dxa" w:w="2211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USMV</w:t>
            </w:r>
          </w:p>
        </w:tc>
        <w:tc>
          <w:tcPr>
            <w:tcW w:type="dxa" w:w="2211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VTI</w:t>
            </w:r>
          </w:p>
        </w:tc>
        <w:tc>
          <w:tcPr>
            <w:tcW w:type="dxa" w:w="2324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MAX UTILITY A=4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Expected return</w:t>
            </w:r>
            <w:r>
              <w:rPr>
                <w:rFonts w:ascii="Arial" w:hAnsi="Arial"/>
                <w:b w:val="0"/>
                <w:i w:val="0"/>
                <w:color w:val="1A202C"/>
                <w:sz w:val="11"/>
                <w:vertAlign w:val="superscript"/>
              </w:rPr>
              <w:t>¹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7.14%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8.45%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7.19%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Volatility</w:t>
            </w:r>
            <w:r>
              <w:rPr>
                <w:rFonts w:ascii="Arial" w:hAnsi="Arial"/>
                <w:b w:val="0"/>
                <w:i w:val="0"/>
                <w:color w:val="1A202C"/>
                <w:sz w:val="11"/>
                <w:vertAlign w:val="superscript"/>
              </w:rPr>
              <w:t>²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12.84%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16.31%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12.70%</w:t>
            </w:r>
          </w:p>
        </w:tc>
      </w:tr>
      <w:tr>
        <w:trPr>
          <w:cantSplit/>
        </w:trP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Utility³ | A=4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3.84%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3.13%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3.96%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Yahoo Finance, Kenneth French; Kappa model; 2015-22 monthly returns, annualised.</w:t>
      </w:r>
    </w:p>
    <w:p>
      <w:pPr>
        <w:spacing w:before="0" w:after="20" w:line="264" w:lineRule="auto"/>
      </w:pPr>
      <w:r>
        <w:rPr>
          <w:rFonts w:ascii="Arial" w:hAnsi="Arial"/>
          <w:b/>
          <w:i w:val="0"/>
          <w:color w:val="1A202C"/>
          <w:sz w:val="16"/>
        </w:rPr>
        <w:t>Full-universe maximum utility at A=4 (96 months, sample covariance):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MSFT 2.92% | JPM 3.52% | JNJ 7.46% | PG 11.62%</w:t>
        <w:br/>
        <w:t>XOM 2.96% | NEE 7.45% | USMV 46.18% | VTI 17.89% | AAPL/CAT 0.00%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This is the highest-scoring long-only mix of the 10 candidates for the stated inputs: CAPM expected returns, sample covariance, weights &gt;=0 and total weight=100%, with no extra caps. It estimates 7.19% return, 12.70% volatility and 3.96% utility, 0.12 percentage point above USMV. The 96-to-60-month check shifts 34.8% of weights one-way (about $2.21m on this sleeve). We choose USMV for simpler policy implementation, not because it is the model maximum.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c>
          <w:tcPr>
            <w:tcW w:type="dxa" w:w="5046"/>
            <w:tcMar>
              <w:top w:w="90" w:type="dxa"/>
              <w:start w:w="95" w:type="dxa"/>
              <w:bottom w:w="70" w:type="dxa"/>
              <w:end w:w="95" w:type="dxa"/>
            </w:tcMar>
            <w:shd w:fill="EBF0F5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002A54"/>
                <w:sz w:val="15"/>
              </w:rPr>
              <w:t>MANDATE &amp; ASSUMPTIONS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$12m initial; USD 8m real at 2030; CPI 2.5% base, 3.0% education-cost stress.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Forecast RF 4%; market premium 4.5%; forecast alpha 0; provisional A=4.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Coupon cash 0%; 5bp bond / 10bp equity entry cost; no extra position caps.</w:t>
            </w:r>
          </w:p>
        </w:tc>
        <w:tc>
          <w:tcPr>
            <w:tcW w:type="dxa" w:w="5046"/>
            <w:tcMar>
              <w:top w:w="90" w:type="dxa"/>
              <w:start w:w="95" w:type="dxa"/>
              <w:bottom w:w="70" w:type="dxa"/>
              <w:end w:w="95" w:type="dxa"/>
            </w:tcMar>
            <w:shd w:fill="EBF0F5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002A54"/>
                <w:sz w:val="15"/>
              </w:rPr>
              <w:t>CANDIDATE UNIVERSE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Technology AAPL, MSFT; financials JPM; health care JNJ; staples PG.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Energy XOM; industrials CAT; utilities NEE; equity ETFs USMV and VTI.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Eight stocks in seven sectors; two ETF mandates. Candidates need not be held.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original case, proposed IPS and dated eligibility notes; instruments are long-only, without borrowing, shorting or derivatives.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Arial" w:hAnsi="Arial"/>
          <w:b/>
          <w:i w:val="0"/>
          <w:color w:val="008999"/>
          <w:sz w:val="15"/>
        </w:rPr>
        <w:t>KAPPA FOUNDATION  /  INVESTMENT COMMITTEE</w:t>
      </w:r>
    </w:p>
    <w:p>
      <w:pPr>
        <w:pStyle w:val="Title"/>
        <w:spacing w:before="0" w:after="40" w:line="240" w:lineRule="auto"/>
      </w:pPr>
      <w:r>
        <w:rPr>
          <w:rFonts w:ascii="Arial" w:hAnsi="Arial"/>
          <w:b/>
          <w:i w:val="0"/>
          <w:color w:val="002A54"/>
          <w:sz w:val="37"/>
        </w:rPr>
        <w:t>Policy, risk and implementation</w:t>
      </w:r>
    </w:p>
    <w:p>
      <w:pPr>
        <w:spacing w:before="0" w:after="120" w:line="240" w:lineRule="auto"/>
      </w:pPr>
      <w:r>
        <w:rPr>
          <w:rFonts w:ascii="Arial" w:hAnsi="Arial"/>
          <w:b w:val="0"/>
          <w:i w:val="0"/>
          <w:color w:val="5A6B7C"/>
          <w:sz w:val="16"/>
        </w:rPr>
        <w:t>Growth-sleeve signals  |  Funding and 2030 goal tracked separately  |  Proposed policy</w:t>
      </w:r>
    </w:p>
    <w:p>
      <w:pPr>
        <w:spacing w:before="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RISK PREFERENCE AND REAL GOAL</w:t>
      </w:r>
    </w:p>
    <w:p>
      <w:r>
        <w:drawing>
          <wp:inline xmlns:a="http://schemas.openxmlformats.org/drawingml/2006/main" xmlns:pic="http://schemas.openxmlformats.org/drawingml/2006/picture">
            <wp:extent cx="6372000" cy="11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Kappa analysis from saved Yahoo/French inputs; utility = expected return - 0.5 x A x annual variance.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USMV and VTI stay at 100%. The dashed line re-optimises all 10 candidates at each A and shows the highest estimated score for that risk preference. At A=4 it scores 3.96%; page 1 lists its holdings. Of the fixed ETFs, VTI leads at A=2; USMV leads at A=4, 6 and 8 (crossover A=2.58). A=4 is provisional.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3458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2030 GOAL</w:t>
            </w:r>
          </w:p>
        </w:tc>
        <w:tc>
          <w:tcPr>
            <w:tcW w:type="dxa" w:w="3005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CPI BASE</w:t>
            </w:r>
          </w:p>
        </w:tc>
        <w:tc>
          <w:tcPr>
            <w:tcW w:type="dxa" w:w="3685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EDUCATION STRESS</w:t>
            </w:r>
          </w:p>
        </w:tc>
      </w:tr>
      <w:tr>
        <w:trPr>
          <w:cantSplit/>
        </w:trPr>
        <w:tc>
          <w:tcPr>
            <w:tcW w:type="dxa" w:w="345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Inflation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2.50%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3.00%</w:t>
            </w:r>
          </w:p>
        </w:tc>
      </w:tr>
      <w:tr>
        <w:trPr>
          <w:cantSplit/>
        </w:trPr>
        <w:tc>
          <w:tcPr>
            <w:tcW w:type="dxa" w:w="345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Nominal USD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$9.747m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$10.134m</w:t>
            </w:r>
          </w:p>
        </w:tc>
      </w:tr>
      <w:tr>
        <w:trPr>
          <w:cantSplit/>
        </w:trPr>
        <w:tc>
          <w:tcPr>
            <w:tcW w:type="dxa" w:w="345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CAGR⁴ hurdle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4.84%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5.37%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Kappa funding model; 2022-30; four pre-maturity coupons retained at 0% cash interest.</w:t>
      </w:r>
    </w:p>
    <w:p>
      <w:pPr>
        <w:spacing w:before="8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DOWNSIDE OVERSIGHT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Primary signal: flow-adjusted growth-sleeve total-return drawdown from its running high, including cash; retain the prior peak after changes. Check whole-fund stress and dated-payment coverage separately. These are review triggers, not guaranteed loss limits.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1757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SIGNAL⁵</w:t>
            </w:r>
          </w:p>
        </w:tc>
        <w:tc>
          <w:tcPr>
            <w:tcW w:type="dxa" w:w="5783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REQUIRED ACTION</w:t>
            </w:r>
          </w:p>
        </w:tc>
        <w:tc>
          <w:tcPr>
            <w:tcW w:type="dxa" w:w="2608"/>
            <w:shd w:fill="002A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DEADLINE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10%</w:t>
            </w:r>
          </w:p>
        </w:tc>
        <w:tc>
          <w:tcPr>
            <w:tcW w:type="dxa" w:w="57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Validate data, payment coverage and stress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2 business days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15%</w:t>
            </w:r>
          </w:p>
        </w:tc>
        <w:tc>
          <w:tcPr>
            <w:tcW w:type="dxa" w:w="57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Investment Committee decision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5 business days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20%</w:t>
            </w:r>
          </w:p>
        </w:tc>
        <w:tc>
          <w:tcPr>
            <w:tcW w:type="dxa" w:w="57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Notify trustees; pause risk increases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Same / next day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1A202C"/>
                <w:sz w:val="15"/>
              </w:rPr>
              <w:t>Payment gap</w:t>
            </w:r>
          </w:p>
        </w:tc>
        <w:tc>
          <w:tcPr>
            <w:tcW w:type="dxa" w:w="57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Escalate; restore coverage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EBF0F5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5"/>
              </w:rPr>
              <w:t>Immediate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/>
          <w:color w:val="5A6B7C"/>
          <w:sz w:val="15"/>
        </w:rPr>
        <w:t>Source: proposed IPS, 21 Oct 2026; signal is month-end growth-sleeve drawdown, except a payment gap at any time.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No automatic sale. At 15%, record a hold, authorised rebalance or prospective policy proposal. A crisis may defer discretionary action only with written authority, expiry and review; due-payment coverage cannot fall.</w:t>
      </w:r>
    </w:p>
    <w:p>
      <w:pPr>
        <w:spacing w:before="8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ANNUAL GOAL PROTECTION AND POLICY RESPONSE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At each annual review, first confirm remaining bond and cash obligations. Test the 2030 goal of $9.747m nominal at CPI 2.5% ($10.134m at HEPI 3% stress) after a 30% fall in growth assets. If stressed resources still cover the goal, trustees may approve locking only the minimum needed in a permitted, actually priced asset due by 2030; keep excess invested. This is a prospective trustee decision, not automatic profit-taking. If a gap remains, report it; do not raise risk to catch up. For relative underperformance, diagnose exposures, costs and implementation before proposing a change.</w:t>
      </w:r>
    </w:p>
    <w:p>
      <w:pPr>
        <w:spacing w:before="60" w:after="60" w:line="240" w:lineRule="auto"/>
      </w:pPr>
      <w:r>
        <w:rPr>
          <w:rFonts w:ascii="Arial" w:hAnsi="Arial"/>
          <w:b/>
          <w:i w:val="0"/>
          <w:color w:val="002A54"/>
          <w:sz w:val="18"/>
        </w:rPr>
        <w:t>FROZEN TEST AND FUTURE REBALANCING</w:t>
      </w: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For the test, freeze USMV 100% and VTI 100% of the growth sleeve at 31 Dec 2022. Compare monthly total returns in Jan 2023-Dec 2025. Reset to starting weights after each December return, without updating forecasts. Since each portfolio holds one ETF, this rule normally creates no trade; charge 10bp only when a trade occurs. Later returns test the frozen choice; they do not set the 2022 weights. Future changes require a dated committee review under the IPS.</w:t>
      </w:r>
    </w:p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A202C"/>
          <w:sz w:val="16"/>
        </w:rPr>
        <w:t>Estimate Jan 2015-Dec 2022 (96 common months); a 60-month sample check informs the initial recommendation. For the final memo, compare sample with single-index covariance. CAPM forecasts set alpha to zero; FF3 explains historical exposures. No 2023-25 observation enters the 2022 weights.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c>
          <w:tcPr>
            <w:tcW w:type="dxa" w:w="5046"/>
            <w:tcMar>
              <w:top w:w="85" w:type="dxa"/>
              <w:start w:w="95" w:type="dxa"/>
              <w:bottom w:w="65" w:type="dxa"/>
              <w:end w:w="95" w:type="dxa"/>
            </w:tcMar>
            <w:shd w:fill="EBF0F5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002A54"/>
                <w:sz w:val="15"/>
              </w:rPr>
              <w:t>FIDUCIARY SCOPE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Nominal payments are covered under the case's default-free bond assumption. Neither ETF, the modelled return nor the 2030 real goal is guaranteed; trustees must authorise the proposal.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65" w:type="dxa"/>
              <w:end w:w="95" w:type="dxa"/>
            </w:tcMar>
            <w:shd w:fill="EBF0F5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002A54"/>
                <w:sz w:val="15"/>
              </w:rPr>
              <w:t>QUANTITATIVE AUDIT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1A202C"/>
                <w:sz w:val="14"/>
              </w:rPr>
              <w:t>Run analysis/run_initial.py from saved raw data. Inspect outputs/max_utility_A4_weights.csv for tickers/weights and max_utility_preference.csv for the A grid; see DATA_RECORD.md and retrieval_manifest.jsonl for provenance. This is a retrospective case.</w:t>
            </w:r>
          </w:p>
        </w:tc>
      </w:tr>
    </w:tbl>
    <w:p>
      <w:pPr>
        <w:spacing w:before="100" w:after="40" w:line="240" w:lineRule="auto"/>
      </w:pPr>
      <w:r>
        <w:rPr>
          <w:rFonts w:ascii="Arial" w:hAnsi="Arial"/>
          <w:b/>
          <w:i w:val="0"/>
          <w:color w:val="002A54"/>
          <w:sz w:val="18"/>
        </w:rPr>
        <w:t>MINI GLOSSARY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02A54"/>
          <w:sz w:val="15"/>
        </w:rPr>
        <w:t xml:space="preserve">¹ CAPM return  </w:t>
      </w:r>
      <w:r>
        <w:rPr>
          <w:rFonts w:ascii="Arial" w:hAnsi="Arial"/>
          <w:b w:val="0"/>
          <w:i w:val="0"/>
          <w:color w:val="1A202C"/>
          <w:sz w:val="15"/>
        </w:rPr>
        <w:t>Annual arithmetic forecast: risk-free rate + beta x market premium; forecast alpha=0.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02A54"/>
          <w:sz w:val="15"/>
        </w:rPr>
        <w:t xml:space="preserve">² Volatility  </w:t>
      </w:r>
      <w:r>
        <w:rPr>
          <w:rFonts w:ascii="Arial" w:hAnsi="Arial"/>
          <w:b w:val="0"/>
          <w:i w:val="0"/>
          <w:color w:val="1A202C"/>
          <w:sz w:val="15"/>
        </w:rPr>
        <w:t>Monthly simple-return standard deviation x sqrt(12); a risk estimate, not a loss cap.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02A54"/>
          <w:sz w:val="15"/>
        </w:rPr>
        <w:t xml:space="preserve">³ Utility (A)  </w:t>
      </w:r>
      <w:r>
        <w:rPr>
          <w:rFonts w:ascii="Arial" w:hAnsi="Arial"/>
          <w:b w:val="0"/>
          <w:i w:val="0"/>
          <w:color w:val="1A202C"/>
          <w:sz w:val="15"/>
        </w:rPr>
        <w:t>E[R] - 0.5 x A x annual variance; a larger A penalises risk more.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02A54"/>
          <w:sz w:val="15"/>
        </w:rPr>
        <w:t xml:space="preserve">⁴ CAGR  </w:t>
      </w:r>
      <w:r>
        <w:rPr>
          <w:rFonts w:ascii="Arial" w:hAnsi="Arial"/>
          <w:b w:val="0"/>
          <w:i w:val="0"/>
          <w:color w:val="1A202C"/>
          <w:sz w:val="15"/>
        </w:rPr>
        <w:t>The constant annual compound rate; the goal hurdle includes retained coupon cash.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02A54"/>
          <w:sz w:val="15"/>
        </w:rPr>
        <w:t xml:space="preserve">⁵ Drawdown  </w:t>
      </w:r>
      <w:r>
        <w:rPr>
          <w:rFonts w:ascii="Arial" w:hAnsi="Arial"/>
          <w:b w:val="0"/>
          <w:i w:val="0"/>
          <w:color w:val="1A202C"/>
          <w:sz w:val="15"/>
        </w:rPr>
        <w:t>Decline in flow-adjusted growth-sleeve unit value from its previous peak.</w:t>
      </w:r>
    </w:p>
    <w:sectPr w:rsidR="00FC693F" w:rsidRPr="0006063C" w:rsidSect="00034616">
      <w:footerReference w:type="default" r:id="rId9"/>
      <w:pgSz w:w="11906" w:h="16838"/>
      <w:pgMar w:top="879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right"/>
    </w:pPr>
    <w:r>
      <w:rPr>
        <w:rFonts w:ascii="Arial" w:hAnsi="Arial"/>
        <w:b w:val="0"/>
        <w:i w:val="0"/>
        <w:color w:val="5A6B7C"/>
        <w:sz w:val="14"/>
      </w:rPr>
      <w:t>Prepared 21 October 2026  |  Case information cutoff 31 December 2022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A202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color w:val="002A54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Kappa Foundation Initial Decision Record</dc:title>
  <dc:subject>Proposed initial investment allocation as of 31 December 2022</dc:subject>
  <dc:creator>Kappa Foundation independent investment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