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THIẾT KẾ HỆ THỐNG CƠ SỞ DỮ LIỆU PHÂN TÁN</w:t>
      </w:r>
    </w:p>
    <w:p>
      <w:pPr>
        <w:jc w:val="center"/>
      </w:pPr>
      <w:r>
        <w:rPr>
          <w:rFonts w:ascii="Times New Roman" w:hAnsi="Times New Roman"/>
          <w:i/>
          <w:sz w:val="26"/>
        </w:rPr>
        <w:t>Đề tài: Online Banking Ledger — Drift Detector &amp; Dynamic Re-Fragmentation</w:t>
      </w:r>
    </w:p>
    <w:p/>
    <w:p>
      <w:pPr>
        <w:pStyle w:val="Heading1"/>
        <w:jc w:val="left"/>
      </w:pPr>
      <w:r>
        <w:rPr>
          <w:rFonts w:ascii="Times New Roman" w:hAnsi="Times New Roman" w:eastAsia="Times New Roman"/>
          <w:color w:val="000000"/>
          <w:sz w:val="28"/>
        </w:rPr>
        <w:t>I. THIẾT KẾ KIẾN TRÚC TỔNG THỂ</w:t>
      </w:r>
    </w:p>
    <w:p>
      <w:pPr>
        <w:jc w:val="both"/>
      </w:pPr>
      <w:r>
        <w:rPr>
          <w:rFonts w:ascii="Times New Roman" w:hAnsi="Times New Roman"/>
          <w:b w:val="0"/>
          <w:i w:val="0"/>
          <w:sz w:val="24"/>
        </w:rPr>
        <w:t>Hệ thống được thiết kế theo mô hình kiến trúc Coordinator — Multi-Site, trong đó một thành phần điều phối trung tâm (Coordinator) đóng vai trò trung gian kết nối, tổng hợp và xử lý dữ liệu từ nhiều phân vùng cơ sở dữ liệu (Site) phân tán độc lập. Mô hình này phù hợp để mô phỏng một ngân hàng có nhiều chi nhánh đặt tại các vùng địa lý khác nhau, mỗi chi nhánh quản lý khách hàng và giao dịch riêng biệt.</w:t>
      </w:r>
    </w:p>
    <w:p>
      <w:pPr>
        <w:jc w:val="both"/>
      </w:pPr>
      <w:r>
        <w:rPr>
          <w:rFonts w:ascii="Times New Roman" w:hAnsi="Times New Roman"/>
          <w:b/>
          <w:i w:val="0"/>
          <w:sz w:val="24"/>
        </w:rPr>
        <w:t>Kiến trúc hệ thống gồm ba tầng chính:</w:t>
      </w:r>
    </w:p>
    <w:p>
      <w:pPr>
        <w:ind w:left="283"/>
        <w:jc w:val="both"/>
      </w:pPr>
      <w:r>
        <w:rPr>
          <w:rFonts w:ascii="Times New Roman" w:hAnsi="Times New Roman"/>
          <w:b w:val="0"/>
          <w:i w:val="0"/>
          <w:sz w:val="24"/>
        </w:rPr>
        <w:t>Tầng 1 — Giao diện người dùng (Presentation Layer): Sử dụng HTML5, CSS3 và JavaScript thuần (Vanilla JS). Giao diện được thiết kế theo phong cách Glassmorphism hiện đại với các hiệu ứng mờ nền (backdrop-filter), bảng dữ liệu phân trang, biểu đồ gauge trực quan hiển thị chỉ số LR và các thẻ thống kê tổng hợp. Toàn bộ giao tiếp với máy chủ thực hiện qua Fetch API bất đồng bộ (AJAX), đảm bảo trải nghiệm người dùng mượt mà không cần tải lại trang.</w:t>
      </w:r>
    </w:p>
    <w:p>
      <w:pPr>
        <w:ind w:left="283"/>
        <w:jc w:val="both"/>
      </w:pPr>
      <w:r>
        <w:rPr>
          <w:rFonts w:ascii="Times New Roman" w:hAnsi="Times New Roman"/>
          <w:b w:val="0"/>
          <w:i w:val="0"/>
          <w:sz w:val="24"/>
        </w:rPr>
        <w:t>Tầng 2 — Điều phối và xử lý nghiệp vụ (Coordinator / Application Layer): Flask (Python) đóng vai trò Coordinator trung tâm, cung cấp các API RESTful để thực hiện các chức năng: truy vấn dữ liệu phân tán (Distributed Query), tính toán chỉ số Locality of Reference, xác định ứng viên di trú, thực thi tái phân mảnh và khôi phục trạng thái. Coordinator kết nối trực tiếp đến cả hai Site thông qua thư viện psycopg2 và thực hiện các phép kết hợp dữ liệu liên vùng (In-Application Distributed Join) tại tầng ứng dụng.</w:t>
      </w:r>
    </w:p>
    <w:p>
      <w:pPr>
        <w:ind w:left="283"/>
        <w:jc w:val="both"/>
      </w:pPr>
      <w:r>
        <w:rPr>
          <w:rFonts w:ascii="Times New Roman" w:hAnsi="Times New Roman"/>
          <w:b w:val="0"/>
          <w:i w:val="0"/>
          <w:sz w:val="24"/>
        </w:rPr>
        <w:t>Tầng 3 — Lưu trữ dữ liệu phân tán (Data Layer): Hai container Docker chạy PostgreSQL 15 độc lập, mỗi container đại diện cho một phân vùng vật lý riêng biệt. Site A (cổng 5431) đại diện cho chi nhánh East Coast, Site B (cổng 5433) đại diện cho chi nhánh West Coast. Hai cơ sở dữ liệu này không liên lạc trực tiếp với nhau mà chỉ giao tiếp thông qua Coordinator.</w:t>
      </w:r>
    </w:p>
    <w:p>
      <w:pPr>
        <w:pStyle w:val="Heading1"/>
        <w:jc w:val="left"/>
      </w:pPr>
      <w:r>
        <w:rPr>
          <w:rFonts w:ascii="Times New Roman" w:hAnsi="Times New Roman" w:eastAsia="Times New Roman"/>
          <w:color w:val="000000"/>
          <w:sz w:val="28"/>
        </w:rPr>
        <w:t>II. THIẾT KẾ CƠ SỞ DỮ LIỆU VÀ CHIẾN LƯỢC PHÂN MẢNH</w:t>
      </w:r>
    </w:p>
    <w:p>
      <w:pPr>
        <w:pStyle w:val="Heading2"/>
        <w:jc w:val="left"/>
      </w:pPr>
      <w:r>
        <w:rPr>
          <w:rFonts w:ascii="Times New Roman" w:hAnsi="Times New Roman" w:eastAsia="Times New Roman"/>
          <w:color w:val="000000"/>
          <w:sz w:val="26"/>
        </w:rPr>
        <w:t>1. Lược đồ quan hệ (Relational Schema)</w:t>
      </w:r>
    </w:p>
    <w:p>
      <w:pPr>
        <w:jc w:val="both"/>
      </w:pPr>
      <w:r>
        <w:rPr>
          <w:rFonts w:ascii="Times New Roman" w:hAnsi="Times New Roman"/>
          <w:b w:val="0"/>
          <w:i w:val="0"/>
          <w:sz w:val="24"/>
        </w:rPr>
        <w:t>Hệ thống sử dụng ba bảng quan hệ chính với các ràng buộc toàn vẹn tham chiếu:</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r/>
            <w:r>
              <w:rPr>
                <w:rFonts w:ascii="Times New Roman" w:hAnsi="Times New Roman"/>
                <w:b/>
                <w:sz w:val="22"/>
              </w:rPr>
              <w:t>Bảng</w:t>
            </w:r>
          </w:p>
        </w:tc>
        <w:tc>
          <w:tcPr>
            <w:tcW w:type="dxa" w:w="3024"/>
          </w:tcPr>
          <w:p>
            <w:r/>
            <w:r>
              <w:rPr>
                <w:rFonts w:ascii="Times New Roman" w:hAnsi="Times New Roman"/>
                <w:b/>
                <w:sz w:val="22"/>
              </w:rPr>
              <w:t>Khóa chính</w:t>
            </w:r>
          </w:p>
        </w:tc>
        <w:tc>
          <w:tcPr>
            <w:tcW w:type="dxa" w:w="3024"/>
          </w:tcPr>
          <w:p>
            <w:r/>
            <w:r>
              <w:rPr>
                <w:rFonts w:ascii="Times New Roman" w:hAnsi="Times New Roman"/>
                <w:b/>
                <w:sz w:val="22"/>
              </w:rPr>
              <w:t>Mô tả &amp; Các cột chính</w:t>
            </w:r>
          </w:p>
        </w:tc>
      </w:tr>
      <w:tr>
        <w:tc>
          <w:tcPr>
            <w:tcW w:type="dxa" w:w="3024"/>
          </w:tcPr>
          <w:p>
            <w:r/>
            <w:r>
              <w:rPr>
                <w:rFonts w:ascii="Times New Roman" w:hAnsi="Times New Roman"/>
                <w:sz w:val="22"/>
              </w:rPr>
              <w:t>branches</w:t>
            </w:r>
          </w:p>
        </w:tc>
        <w:tc>
          <w:tcPr>
            <w:tcW w:type="dxa" w:w="3024"/>
          </w:tcPr>
          <w:p>
            <w:r/>
            <w:r>
              <w:rPr>
                <w:rFonts w:ascii="Times New Roman" w:hAnsi="Times New Roman"/>
                <w:sz w:val="22"/>
              </w:rPr>
              <w:t>branchid CHAR(1)</w:t>
            </w:r>
          </w:p>
        </w:tc>
        <w:tc>
          <w:tcPr>
            <w:tcW w:type="dxa" w:w="3024"/>
          </w:tcPr>
          <w:p>
            <w:r/>
            <w:r>
              <w:rPr>
                <w:rFonts w:ascii="Times New Roman" w:hAnsi="Times New Roman"/>
                <w:sz w:val="22"/>
              </w:rPr>
              <w:t>Thông tin chi nhánh (branchname, location). Sao chép đầy đủ (Full Replication) trên cả hai Site.</w:t>
            </w:r>
          </w:p>
        </w:tc>
      </w:tr>
      <w:tr>
        <w:tc>
          <w:tcPr>
            <w:tcW w:type="dxa" w:w="3024"/>
          </w:tcPr>
          <w:p>
            <w:r/>
            <w:r>
              <w:rPr>
                <w:rFonts w:ascii="Times New Roman" w:hAnsi="Times New Roman"/>
                <w:sz w:val="22"/>
              </w:rPr>
              <w:t>customers</w:t>
            </w:r>
          </w:p>
        </w:tc>
        <w:tc>
          <w:tcPr>
            <w:tcW w:type="dxa" w:w="3024"/>
          </w:tcPr>
          <w:p>
            <w:r/>
            <w:r>
              <w:rPr>
                <w:rFonts w:ascii="Times New Roman" w:hAnsi="Times New Roman"/>
                <w:sz w:val="22"/>
              </w:rPr>
              <w:t>customerid INT</w:t>
            </w:r>
          </w:p>
        </w:tc>
        <w:tc>
          <w:tcPr>
            <w:tcW w:type="dxa" w:w="3024"/>
          </w:tcPr>
          <w:p>
            <w:r/>
            <w:r>
              <w:rPr>
                <w:rFonts w:ascii="Times New Roman" w:hAnsi="Times New Roman"/>
                <w:sz w:val="22"/>
              </w:rPr>
              <w:t>Thông tin khách hàng (fullname, email, phone, address, account_type, account_balance, date_of_birth, created_at, homebranchid FK). Phân mảnh ngang theo homebranchid.</w:t>
            </w:r>
          </w:p>
        </w:tc>
      </w:tr>
      <w:tr>
        <w:tc>
          <w:tcPr>
            <w:tcW w:type="dxa" w:w="3024"/>
          </w:tcPr>
          <w:p>
            <w:r/>
            <w:r>
              <w:rPr>
                <w:rFonts w:ascii="Times New Roman" w:hAnsi="Times New Roman"/>
                <w:sz w:val="22"/>
              </w:rPr>
              <w:t>transactions</w:t>
            </w:r>
          </w:p>
        </w:tc>
        <w:tc>
          <w:tcPr>
            <w:tcW w:type="dxa" w:w="3024"/>
          </w:tcPr>
          <w:p>
            <w:r/>
            <w:r>
              <w:rPr>
                <w:rFonts w:ascii="Times New Roman" w:hAnsi="Times New Roman"/>
                <w:sz w:val="22"/>
              </w:rPr>
              <w:t>txid SERIAL</w:t>
            </w:r>
          </w:p>
        </w:tc>
        <w:tc>
          <w:tcPr>
            <w:tcW w:type="dxa" w:w="3024"/>
          </w:tcPr>
          <w:p>
            <w:r/>
            <w:r>
              <w:rPr>
                <w:rFonts w:ascii="Times New Roman" w:hAnsi="Times New Roman"/>
                <w:sz w:val="22"/>
              </w:rPr>
              <w:t>Lịch sử giao dịch (customerid FK, atm_branchid FK, amount, txdate, workload_day). Phân mảnh ngang theo atm_branchid.</w:t>
            </w:r>
          </w:p>
        </w:tc>
      </w:tr>
    </w:tbl>
    <w:p/>
    <w:p>
      <w:pPr>
        <w:pStyle w:val="Heading2"/>
        <w:jc w:val="left"/>
      </w:pPr>
      <w:r>
        <w:rPr>
          <w:rFonts w:ascii="Times New Roman" w:hAnsi="Times New Roman" w:eastAsia="Times New Roman"/>
          <w:color w:val="000000"/>
          <w:sz w:val="26"/>
        </w:rPr>
        <w:t>2. Chiến lược phân mảnh ngang</w:t>
      </w:r>
    </w:p>
    <w:p>
      <w:pPr>
        <w:jc w:val="both"/>
      </w:pPr>
      <w:r>
        <w:rPr>
          <w:rFonts w:ascii="Times New Roman" w:hAnsi="Times New Roman"/>
          <w:b w:val="0"/>
          <w:i w:val="0"/>
          <w:sz w:val="24"/>
        </w:rPr>
        <w:t>Chiến lược phân mảnh được thiết kế dựa trên nguyên tắc tối đa hóa tỷ lệ truy vấn nội vùng (Locality of Reference Maximization):</w:t>
      </w:r>
    </w:p>
    <w:p>
      <w:pPr>
        <w:pStyle w:val="ListBullet"/>
      </w:pPr>
      <w:r>
        <w:rPr>
          <w:rFonts w:ascii="Times New Roman" w:hAnsi="Times New Roman"/>
          <w:sz w:val="24"/>
        </w:rPr>
        <w:t>Bảng customers: Phân mảnh ngang dựa trên thuộc tính homebranchid. Khách hàng có homebranchid = 'A' được lưu tại Site A, khách hàng có homebranchid = 'B' được lưu tại Site B.</w:t>
      </w:r>
    </w:p>
    <w:p>
      <w:pPr>
        <w:pStyle w:val="ListBullet"/>
      </w:pPr>
      <w:r>
        <w:rPr>
          <w:rFonts w:ascii="Times New Roman" w:hAnsi="Times New Roman"/>
          <w:sz w:val="24"/>
        </w:rPr>
        <w:t>Bảng transactions: Phân mảnh ngang dựa trên thuộc tính atm_branchid (vị trí ATM phát sinh giao dịch). Giao dịch thực hiện tại ATM chi nhánh A được lưu tại Site A, giao dịch tại ATM chi nhánh B được lưu tại Site B.</w:t>
      </w:r>
    </w:p>
    <w:p>
      <w:pPr>
        <w:pStyle w:val="Heading1"/>
        <w:jc w:val="left"/>
      </w:pPr>
      <w:r>
        <w:rPr>
          <w:rFonts w:ascii="Times New Roman" w:hAnsi="Times New Roman" w:eastAsia="Times New Roman"/>
          <w:color w:val="000000"/>
          <w:sz w:val="28"/>
        </w:rPr>
        <w:t>III. THIẾT KẾ THUẬT TOÁN PHÁT HIỆN DRIFT VÀ TÁI PHÂN MẢNH ĐỘNG</w:t>
      </w:r>
    </w:p>
    <w:p>
      <w:pPr>
        <w:pStyle w:val="Heading2"/>
        <w:jc w:val="left"/>
      </w:pPr>
      <w:r>
        <w:rPr>
          <w:rFonts w:ascii="Times New Roman" w:hAnsi="Times New Roman" w:eastAsia="Times New Roman"/>
          <w:color w:val="000000"/>
          <w:sz w:val="26"/>
        </w:rPr>
        <w:t>1. Module giám sát Locality of Reference</w:t>
      </w:r>
    </w:p>
    <w:p>
      <w:pPr>
        <w:jc w:val="both"/>
      </w:pPr>
      <w:r>
        <w:rPr>
          <w:rFonts w:ascii="Times New Roman" w:hAnsi="Times New Roman"/>
          <w:b w:val="0"/>
          <w:i w:val="0"/>
          <w:sz w:val="24"/>
        </w:rPr>
        <w:t>Chỉ số Locality of Reference (LR) của mỗi khách hàng i được tính theo công thức:</w:t>
      </w:r>
    </w:p>
    <w:p>
      <w:pPr>
        <w:jc w:val="center"/>
      </w:pPr>
      <w:r>
        <w:rPr>
          <w:rFonts w:ascii="Times New Roman" w:hAnsi="Times New Roman"/>
          <w:i/>
          <w:sz w:val="24"/>
        </w:rPr>
        <w:t>LR(i) = Số giao dịch nội vùng của khách hàng i / Tổng số giao dịch của khách hàng i</w:t>
      </w:r>
    </w:p>
    <w:p>
      <w:pPr>
        <w:jc w:val="both"/>
      </w:pPr>
      <w:r>
        <w:rPr>
          <w:rFonts w:ascii="Times New Roman" w:hAnsi="Times New Roman"/>
          <w:b w:val="0"/>
          <w:i w:val="0"/>
          <w:sz w:val="24"/>
        </w:rPr>
        <w:t>Trong đó, giao dịch nội vùng là giao dịch mà khách hàng thực hiện tại ATM thuộc cùng chi nhánh với chi nhánh đăng ký của họ (homebranchid). Ngưỡng Drift mặc định được cấu hình tại LR_THRESHOLD = 0.70 trong file cấu hình hệ thống.</w:t>
      </w:r>
    </w:p>
    <w:p>
      <w:pPr>
        <w:pStyle w:val="ListBullet"/>
      </w:pPr>
      <w:r>
        <w:rPr>
          <w:rFonts w:ascii="Times New Roman" w:hAnsi="Times New Roman"/>
          <w:sz w:val="24"/>
        </w:rPr>
        <w:t>Trạng thái ổn định: LR ≥ 0.70 — Hầu hết giao dịch diễn ra tại chi nhánh nhà.</w:t>
      </w:r>
    </w:p>
    <w:p>
      <w:pPr>
        <w:pStyle w:val="ListBullet"/>
      </w:pPr>
      <w:r>
        <w:rPr>
          <w:rFonts w:ascii="Times New Roman" w:hAnsi="Times New Roman"/>
          <w:sz w:val="24"/>
        </w:rPr>
        <w:t>Trạng thái Drift: LR &lt; 0.70 — Khách hàng thực hiện phần lớn giao dịch tại chi nhánh khác, gây ra truy vấn liên vùng tốn kém.</w:t>
      </w:r>
    </w:p>
    <w:p>
      <w:pPr>
        <w:pStyle w:val="Heading2"/>
        <w:jc w:val="left"/>
      </w:pPr>
      <w:r>
        <w:rPr>
          <w:rFonts w:ascii="Times New Roman" w:hAnsi="Times New Roman" w:eastAsia="Times New Roman"/>
          <w:color w:val="000000"/>
          <w:sz w:val="26"/>
        </w:rPr>
        <w:t>2. Module tái phân mảnh động (Re-Fragmentation)</w:t>
      </w:r>
    </w:p>
    <w:p>
      <w:pPr>
        <w:jc w:val="both"/>
      </w:pPr>
      <w:r>
        <w:rPr>
          <w:rFonts w:ascii="Times New Roman" w:hAnsi="Times New Roman"/>
          <w:b w:val="0"/>
          <w:i w:val="0"/>
          <w:sz w:val="24"/>
        </w:rPr>
        <w:t>Quy trình tái phân mảnh được thiết kế theo cơ chế Transaction an toàn với khả năng phục hồi (Safe Migration with Rollback), gồm bốn bước:</w:t>
      </w:r>
    </w:p>
    <w:p>
      <w:pPr>
        <w:ind w:left="283"/>
        <w:jc w:val="both"/>
      </w:pPr>
      <w:r>
        <w:rPr>
          <w:rFonts w:ascii="Times New Roman" w:hAnsi="Times New Roman"/>
          <w:b/>
          <w:i w:val="0"/>
          <w:sz w:val="24"/>
        </w:rPr>
        <w:t>Bước 1 — Sao lưu phòng ngừa (Backup):</w:t>
      </w:r>
    </w:p>
    <w:p>
      <w:pPr>
        <w:ind w:left="567"/>
        <w:jc w:val="both"/>
      </w:pPr>
      <w:r>
        <w:rPr>
          <w:rFonts w:ascii="Times New Roman" w:hAnsi="Times New Roman"/>
          <w:b w:val="0"/>
          <w:i w:val="0"/>
          <w:sz w:val="24"/>
        </w:rPr>
        <w:t>Tạo các bảng sao lưu tạm thời (customers_backup, transactions_backup) trên cả hai Site bằng lệnh CREATE TABLE ... AS SELECT *. Đây là cơ chế bảo vệ dữ liệu cho phép hoàn tác toàn bộ nếu quá trình di trú gặp sự cố.</w:t>
      </w:r>
    </w:p>
    <w:p>
      <w:pPr>
        <w:ind w:left="283"/>
        <w:jc w:val="both"/>
      </w:pPr>
      <w:r>
        <w:rPr>
          <w:rFonts w:ascii="Times New Roman" w:hAnsi="Times New Roman"/>
          <w:b/>
          <w:i w:val="0"/>
          <w:sz w:val="24"/>
        </w:rPr>
        <w:t>Bước 2 — Di chuyển bản ghi khách hàng (Customer Migration):</w:t>
      </w:r>
    </w:p>
    <w:p>
      <w:pPr>
        <w:ind w:left="567"/>
        <w:jc w:val="both"/>
      </w:pPr>
      <w:r>
        <w:rPr>
          <w:rFonts w:ascii="Times New Roman" w:hAnsi="Times New Roman"/>
          <w:b w:val="0"/>
          <w:i w:val="0"/>
          <w:sz w:val="24"/>
        </w:rPr>
        <w:t>Chèn bản ghi khách hàng vào Site đích với thuộc tính homebranchid được cập nhật sang chi nhánh mới. Sử dụng mệnh đề ON CONFLICT (customerid) DO NOTHING nhằm đảm bảo tính bình đẳng (idempotent) và ngăn lỗi trùng khóa chính. Sau khi chèn thành công, bản ghi gốc tại Site nguồn được xóa.</w:t>
      </w:r>
    </w:p>
    <w:p>
      <w:pPr>
        <w:ind w:left="283"/>
        <w:jc w:val="both"/>
      </w:pPr>
      <w:r>
        <w:rPr>
          <w:rFonts w:ascii="Times New Roman" w:hAnsi="Times New Roman"/>
          <w:b/>
          <w:i w:val="0"/>
          <w:sz w:val="24"/>
        </w:rPr>
        <w:t>Bước 3 — Di chuyển lịch sử giao dịch (Transaction Migration):</w:t>
      </w:r>
    </w:p>
    <w:p>
      <w:pPr>
        <w:ind w:left="567"/>
        <w:jc w:val="both"/>
      </w:pPr>
      <w:r>
        <w:rPr>
          <w:rFonts w:ascii="Times New Roman" w:hAnsi="Times New Roman"/>
          <w:b w:val="0"/>
          <w:i w:val="0"/>
          <w:sz w:val="24"/>
        </w:rPr>
        <w:t>Toàn bộ giao dịch của khách hàng được di trú sẽ được sao chép sang Site đích với cơ chế INSERT INTO transactions (txid, ...) ... ON CONFLICT (txid) DO NOTHING, giữ nguyên giá trị txid gốc nhằm đảm bảo tính nhất quán tham chiếu trong hệ thống. Giao dịch gốc tại Site nguồn được xóa sau khi chèn thành công.</w:t>
      </w:r>
    </w:p>
    <w:p>
      <w:pPr>
        <w:ind w:left="283"/>
        <w:jc w:val="both"/>
      </w:pPr>
      <w:r>
        <w:rPr>
          <w:rFonts w:ascii="Times New Roman" w:hAnsi="Times New Roman"/>
          <w:b/>
          <w:i w:val="0"/>
          <w:sz w:val="24"/>
        </w:rPr>
        <w:t>Bước 4 — Đồng bộ Sequence (Sequence Synchronization):</w:t>
      </w:r>
    </w:p>
    <w:p>
      <w:pPr>
        <w:ind w:left="567"/>
        <w:jc w:val="both"/>
      </w:pPr>
      <w:r>
        <w:rPr>
          <w:rFonts w:ascii="Times New Roman" w:hAnsi="Times New Roman"/>
          <w:b w:val="0"/>
          <w:i w:val="0"/>
          <w:sz w:val="24"/>
        </w:rPr>
        <w:t>Sau khi hoàn tất di chuyển, hệ thống tự động cập nhật lại bộ đếm tự tăng transactions_txid_seq trên cả hai Site bằng lệnh SELECT setval('transactions_txid_seq', (SELECT COALESCE(MAX(txid),0) FROM transactions)). Bước này đảm bảo rằng các giao dịch mới được tạo sau này sẽ không bị xung đột mã giao dịch (txid) với các bản ghi đã tồn tại.</w:t>
      </w:r>
    </w:p>
    <w:p>
      <w:pPr>
        <w:pStyle w:val="Heading2"/>
        <w:jc w:val="left"/>
      </w:pPr>
      <w:r>
        <w:rPr>
          <w:rFonts w:ascii="Times New Roman" w:hAnsi="Times New Roman" w:eastAsia="Times New Roman"/>
          <w:color w:val="000000"/>
          <w:sz w:val="26"/>
        </w:rPr>
        <w:t>3. Module khôi phục trạng thái (Undo/Rollback)</w:t>
      </w:r>
    </w:p>
    <w:p>
      <w:pPr>
        <w:jc w:val="both"/>
      </w:pPr>
      <w:r>
        <w:rPr>
          <w:rFonts w:ascii="Times New Roman" w:hAnsi="Times New Roman"/>
          <w:b w:val="0"/>
          <w:i w:val="0"/>
          <w:sz w:val="24"/>
        </w:rPr>
        <w:t>Module hoàn tác được thiết kế theo cơ chế TRUNCATE — RESTORE: Khi người dùng kích hoạt chức năng Undo, hệ thống thực hiện TRUNCATE bảng customers và transactions trên cả hai Site, sau đó khôi phục toàn bộ dữ liệu nguyên bản từ các bảng backup (INSERT INTO ... SELECT * FROM ...). Cuối cùng, Sequence ID được đồng bộ lại để đảm bảo tính nhất quán cho các thao tác ghi mới.</w:t>
      </w:r>
    </w:p>
    <w:p>
      <w:pPr>
        <w:pStyle w:val="Heading1"/>
        <w:jc w:val="left"/>
      </w:pPr>
      <w:r>
        <w:rPr>
          <w:rFonts w:ascii="Times New Roman" w:hAnsi="Times New Roman" w:eastAsia="Times New Roman"/>
          <w:color w:val="000000"/>
          <w:sz w:val="28"/>
        </w:rPr>
        <w:t>IV. THIẾT KẾ GIAO DIỆN VÀ TƯƠNG TÁC NGƯỜI DÙNG</w:t>
      </w:r>
    </w:p>
    <w:p>
      <w:pPr>
        <w:jc w:val="both"/>
      </w:pPr>
      <w:r>
        <w:rPr>
          <w:rFonts w:ascii="Times New Roman" w:hAnsi="Times New Roman"/>
          <w:b w:val="0"/>
          <w:i w:val="0"/>
          <w:sz w:val="24"/>
        </w:rPr>
        <w:t>Giao diện Dashboard được thiết kế gồm 5 tab chức năng chính:</w:t>
      </w:r>
    </w:p>
    <w:p>
      <w:pPr>
        <w:pStyle w:val="ListBullet"/>
      </w:pPr>
      <w:r>
        <w:rPr>
          <w:rFonts w:ascii="Times New Roman" w:hAnsi="Times New Roman"/>
          <w:sz w:val="24"/>
        </w:rPr>
        <w:t>Overview: Hiển thị 4 thẻ thống kê tổng hợp (tổng khách hàng và giao dịch mỗi Site) cùng sơ đồ kiến trúc hệ thống trực quan.</w:t>
      </w:r>
    </w:p>
    <w:p>
      <w:pPr>
        <w:pStyle w:val="ListBullet"/>
      </w:pPr>
      <w:r>
        <w:rPr>
          <w:rFonts w:ascii="Times New Roman" w:hAnsi="Times New Roman"/>
          <w:sz w:val="24"/>
        </w:rPr>
        <w:t>Site A Database / Site B Database: Bảng dữ liệu khách hàng hỗ trợ phân trang, tìm kiếm theo từ khóa, lọc theo chi nhánh và cửa sổ modal hiển thị chi tiết giao dịch phân tán của từng khách hàng.</w:t>
      </w:r>
    </w:p>
    <w:p>
      <w:pPr>
        <w:pStyle w:val="ListBullet"/>
      </w:pPr>
      <w:r>
        <w:rPr>
          <w:rFonts w:ascii="Times New Roman" w:hAnsi="Times New Roman"/>
          <w:sz w:val="24"/>
        </w:rPr>
        <w:t>Drift Analysis: Hiển thị song song các biểu đồ gauge so sánh chỉ số LR giữa Day 1 (trạng thái ổn định, LR ≈ 0.90) và Day 30 (trạng thái Drift, LR ≈ 0.35–0.45), giúp người dùng trực quan hóa mức độ suy giảm hiệu năng phân mảnh.</w:t>
      </w:r>
    </w:p>
    <w:p>
      <w:pPr>
        <w:pStyle w:val="ListBullet"/>
      </w:pPr>
      <w:r>
        <w:rPr>
          <w:rFonts w:ascii="Times New Roman" w:hAnsi="Times New Roman"/>
          <w:sz w:val="24"/>
        </w:rPr>
        <w:t>Re-Fragmentation: Bảng danh sách ứng viên di trú kèm các nút điều khiển thực thi di trú (Migrate) và hoàn tác (Undo Migration), cho phép người dùng can thiệp trực tiếp vào quá trình tối ưu hóa phân mảnh.</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