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Arial" w:hAnsi="Arial"/>
          <w:b/>
          <w:i w:val="0"/>
          <w:color w:val="00236F"/>
          <w:sz w:val="32"/>
          <w:rFonts w:ascii="Arial" w:hAnsi="Arial" w:cs="Arial"/>
        </w:rPr>
        <w:t>TÀI LIỆU QUY CHUẨN KỸ THUẬT VÀ KIẾN TRÚC HỆ THỐNG</w:t>
      </w:r>
    </w:p>
    <w:p>
      <w:pPr>
        <w:spacing w:before="80" w:after="280"/>
        <w:jc w:val="center"/>
      </w:pPr>
      <w:r>
        <w:rPr>
          <w:rFonts w:ascii="Arial" w:hAnsi="Arial"/>
          <w:b/>
          <w:i w:val="0"/>
          <w:color w:val="0047AB"/>
          <w:sz w:val="24"/>
          <w:rFonts w:ascii="Arial" w:hAnsi="Arial" w:cs="Arial"/>
        </w:rPr>
        <w:t>DỰ ÁN: THEMIS LEXIGUARD — AI COMPLIANCE NAVIGATOR FOR AGRICULTURAL EXPORT</w:t>
      </w:r>
    </w:p>
    <w:p>
      <w:pPr>
        <w:keepNext/>
        <w:spacing w:before="280" w:after="120"/>
      </w:pPr>
      <w:r>
        <w:rPr>
          <w:rFonts w:ascii="Arial" w:hAnsi="Arial"/>
          <w:b/>
          <w:i w:val="0"/>
          <w:color w:val="00236F"/>
          <w:sz w:val="26"/>
          <w:rFonts w:ascii="Arial" w:hAnsi="Arial" w:cs="Arial"/>
        </w:rPr>
        <w:t>PHẠM VI MVP: SẦU RIÊNG XUẤT KHẨU SANG TRUNG QUỐC (GACC PROTOCOL - MÃ HS: 0810.60.00 / 0811.90.00)</w:t>
      </w:r>
    </w:p>
    <w:p>
      <w:pPr>
        <w:spacing w:after="80" w:line="276" w:lineRule="auto"/>
      </w:pPr>
      <w:r>
        <w:rPr>
          <w:rFonts w:ascii="Arial" w:hAnsi="Arial"/>
          <w:b w:val="0"/>
          <w:i w:val="0"/>
          <w:color w:val="191C1E"/>
          <w:sz w:val="20"/>
          <w:rFonts w:ascii="Arial" w:hAnsi="Arial" w:cs="Arial"/>
        </w:rPr>
        <w:t>---</w:t>
      </w:r>
    </w:p>
    <w:p>
      <w:pPr>
        <w:spacing w:before="80" w:after="280"/>
        <w:jc w:val="center"/>
      </w:pPr>
      <w:r>
        <w:rPr>
          <w:rFonts w:ascii="Arial" w:hAnsi="Arial"/>
          <w:b/>
          <w:i w:val="0"/>
          <w:color w:val="0047AB"/>
          <w:sz w:val="24"/>
          <w:rFonts w:ascii="Arial" w:hAnsi="Arial" w:cs="Arial"/>
        </w:rPr>
        <w:t>CHƯƠNG I: TỔNG QUAN HỆ THỐNG VÀ BỐI CẢNH NGHIỆP VỤ</w:t>
      </w:r>
    </w:p>
    <w:p>
      <w:pPr>
        <w:keepNext/>
        <w:spacing w:before="280" w:after="120"/>
      </w:pPr>
      <w:r>
        <w:rPr>
          <w:rFonts w:ascii="Arial" w:hAnsi="Arial"/>
          <w:b/>
          <w:i w:val="0"/>
          <w:color w:val="00236F"/>
          <w:sz w:val="26"/>
          <w:rFonts w:ascii="Arial" w:hAnsi="Arial" w:cs="Arial"/>
        </w:rPr>
        <w:t>1.1. Định danh sản phẩm</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Tên chính thức sản phẩm</w:t>
      </w:r>
      <w:r>
        <w:rPr>
          <w:rFonts w:ascii="Arial" w:hAnsi="Arial"/>
          <w:b w:val="0"/>
          <w:i w:val="0"/>
          <w:color w:val="191C1E"/>
          <w:sz w:val="20"/>
          <w:rFonts w:ascii="Arial" w:hAnsi="Arial" w:cs="Arial"/>
        </w:rPr>
        <w:t>: Themis LexiGuard</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Tên phụ</w:t>
      </w:r>
      <w:r>
        <w:rPr>
          <w:rFonts w:ascii="Arial" w:hAnsi="Arial"/>
          <w:b w:val="0"/>
          <w:i w:val="0"/>
          <w:color w:val="191C1E"/>
          <w:sz w:val="20"/>
          <w:rFonts w:ascii="Arial" w:hAnsi="Arial" w:cs="Arial"/>
        </w:rPr>
        <w:t>: AI Compliance Navigator for Agricultural Export</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Phạm vi triển khai Release 1 (MVP)</w:t>
      </w:r>
      <w:r>
        <w:rPr>
          <w:rFonts w:ascii="Arial" w:hAnsi="Arial"/>
          <w:b w:val="0"/>
          <w:i w:val="0"/>
          <w:color w:val="191C1E"/>
          <w:sz w:val="20"/>
          <w:rFonts w:ascii="Arial" w:hAnsi="Arial" w:cs="Arial"/>
        </w:rPr>
        <w:t>: Thẩm định tuân thủ pháp lý Sầu riêng Tươi và Sầu riêng Cấp đông xuất khẩu sang thị trường Trung Quốc (Mã HS: 0810.60.00 / 0811.90.00) theo Nghị định thư Hải quan Trung Quốc (GACC Protocol).</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Mã nguồn Repository</w:t>
      </w:r>
      <w:r>
        <w:rPr>
          <w:rFonts w:ascii="Arial" w:hAnsi="Arial"/>
          <w:b w:val="0"/>
          <w:i w:val="0"/>
          <w:color w:val="191C1E"/>
          <w:sz w:val="20"/>
          <w:rFonts w:ascii="Arial" w:hAnsi="Arial" w:cs="Arial"/>
        </w:rPr>
        <w:t>: Module2_ProductDesign_</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Mô hình vận hành</w:t>
      </w:r>
      <w:r>
        <w:rPr>
          <w:rFonts w:ascii="Arial" w:hAnsi="Arial"/>
          <w:b w:val="0"/>
          <w:i w:val="0"/>
          <w:color w:val="191C1E"/>
          <w:sz w:val="20"/>
          <w:rFonts w:ascii="Arial" w:hAnsi="Arial" w:cs="Arial"/>
        </w:rPr>
        <w:t>: Enterprise Multi-Tenant SaaS (Software-as-a-Service) phục vụ các doanh nghiệp xuất khẩu nông sản, tập đoàn logistics và tổ chức thẩm định độc lập.</w:t>
      </w:r>
    </w:p>
    <w:p>
      <w:pPr>
        <w:keepNext/>
        <w:spacing w:before="280" w:after="120"/>
      </w:pPr>
      <w:r>
        <w:rPr>
          <w:rFonts w:ascii="Arial" w:hAnsi="Arial"/>
          <w:b/>
          <w:i w:val="0"/>
          <w:color w:val="00236F"/>
          <w:sz w:val="26"/>
          <w:rFonts w:ascii="Arial" w:hAnsi="Arial" w:cs="Arial"/>
        </w:rPr>
        <w:t>1.2. Phân tích điểm đau cốt lõi của doanh nghiệp xuất khẩu</w:t>
      </w:r>
    </w:p>
    <w:p>
      <w:pPr>
        <w:spacing w:after="80" w:line="276" w:lineRule="auto"/>
      </w:pPr>
      <w:r>
        <w:rPr>
          <w:rFonts w:ascii="Arial" w:hAnsi="Arial"/>
          <w:b w:val="0"/>
          <w:i w:val="0"/>
          <w:color w:val="191C1E"/>
          <w:sz w:val="20"/>
          <w:rFonts w:ascii="Arial" w:hAnsi="Arial" w:cs="Arial"/>
        </w:rPr>
        <w:t>Hệ thống Themis LexiGuard được thiết kế nhằm giải quyết trực tiếp 4 rủi ro pháp lý và vận hành chí mạng của các doanh nghiệp xuất khẩu nông sản Việt Nam:</w:t>
      </w:r>
    </w:p>
    <w:p>
      <w:pPr>
        <w:spacing w:after="80" w:line="276" w:lineRule="auto"/>
        <w:ind w:left="360"/>
      </w:pPr>
      <w:r>
        <w:rPr>
          <w:rFonts w:ascii="Arial" w:hAnsi="Arial"/>
          <w:b w:val="0"/>
          <w:i w:val="0"/>
          <w:color w:val="191C1E"/>
          <w:sz w:val="20"/>
          <w:rFonts w:ascii="Arial" w:hAnsi="Arial" w:cs="Arial"/>
        </w:rPr>
        <w:t xml:space="preserve">1. </w:t>
      </w:r>
      <w:r>
        <w:rPr>
          <w:rFonts w:ascii="Arial" w:hAnsi="Arial"/>
          <w:b/>
          <w:i w:val="0"/>
          <w:color w:val="191C1E"/>
          <w:sz w:val="20"/>
          <w:rFonts w:ascii="Arial" w:hAnsi="Arial" w:cs="Arial"/>
        </w:rPr>
        <w:t>Tổn thất tài chính nghiêm trọng do bị tịch thu hoặc tiêu hủy hàng hóa tại cửa khẩu</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Hải quan nước nhập khẩu (đặc biệt là Tổng cục Hải quan Trung Quốc - GACC) áp dụng tần suất kiểm tra cao đối với chỉ số kim loại nặng Cadmium (Cd ≤ 0.05 mg/kg theo GB 2762-2022) và dư lượng thuốc bảo vệ thực vật (MRL theo GB 2763-2021). Doanh nghiệp thiếu công cụ tự động đối soát trước khi mở tờ khai thông quan.</w:t>
      </w:r>
    </w:p>
    <w:p>
      <w:pPr>
        <w:spacing w:after="80" w:line="276" w:lineRule="auto"/>
        <w:ind w:left="360"/>
      </w:pPr>
      <w:r>
        <w:rPr>
          <w:rFonts w:ascii="Arial" w:hAnsi="Arial"/>
          <w:b w:val="0"/>
          <w:i w:val="0"/>
          <w:color w:val="191C1E"/>
          <w:sz w:val="20"/>
          <w:rFonts w:ascii="Arial" w:hAnsi="Arial" w:cs="Arial"/>
        </w:rPr>
        <w:t xml:space="preserve">2. </w:t>
      </w:r>
      <w:r>
        <w:rPr>
          <w:rFonts w:ascii="Arial" w:hAnsi="Arial"/>
          <w:b/>
          <w:i w:val="0"/>
          <w:color w:val="191C1E"/>
          <w:sz w:val="20"/>
          <w:rFonts w:ascii="Arial" w:hAnsi="Arial" w:cs="Arial"/>
        </w:rPr>
        <w:t>Thiếu cơ sở luận cứ pháp lý khi giải trình hải quan</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Các báo cáo kiểm tra nội bộ hiện tại không đính kèm mã trích dẫn văn bản quy phạm pháp luật chính thức (Nghị định thư GACC, Lệnh 248, Lệnh 249, Tiêu chuẩn Quốc gia GB). Khi xảy ra sự cố sai lệch, doanh nghiệp không có căn cứ pháp lý để làm việc với Hải quan hoặc khiếu nại nhà cung ứng.</w:t>
      </w:r>
    </w:p>
    <w:p>
      <w:pPr>
        <w:spacing w:after="80" w:line="276" w:lineRule="auto"/>
        <w:ind w:left="360"/>
      </w:pPr>
      <w:r>
        <w:rPr>
          <w:rFonts w:ascii="Arial" w:hAnsi="Arial"/>
          <w:b w:val="0"/>
          <w:i w:val="0"/>
          <w:color w:val="191C1E"/>
          <w:sz w:val="20"/>
          <w:rFonts w:ascii="Arial" w:hAnsi="Arial" w:cs="Arial"/>
        </w:rPr>
        <w:t xml:space="preserve">3. </w:t>
      </w:r>
      <w:r>
        <w:rPr>
          <w:rFonts w:ascii="Arial" w:hAnsi="Arial"/>
          <w:b/>
          <w:i w:val="0"/>
          <w:color w:val="191C1E"/>
          <w:sz w:val="20"/>
          <w:rFonts w:ascii="Arial" w:hAnsi="Arial" w:cs="Arial"/>
        </w:rPr>
        <w:t>Rủi ro bỏ sót lỗi do quy trình rà soát chứng từ thủ công</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Cán bộ pháp chế và quản lý chất lượng phải kiểm tra thủ công bằng mắt thường hàng chục trang Phiếu kết quả kiểm nghiệm (Lab Report), Giấy chứng nhận Kiểm dịch thực vật (Phytosanitary Certificate), Mã số Vùng trồng (PUC) và Mã số Cơ sở đóng gói (PHC).</w:t>
      </w:r>
    </w:p>
    <w:p>
      <w:pPr>
        <w:spacing w:after="80" w:line="276" w:lineRule="auto"/>
        <w:ind w:left="360"/>
      </w:pPr>
      <w:r>
        <w:rPr>
          <w:rFonts w:ascii="Arial" w:hAnsi="Arial"/>
          <w:b w:val="0"/>
          <w:i w:val="0"/>
          <w:color w:val="191C1E"/>
          <w:sz w:val="20"/>
          <w:rFonts w:ascii="Arial" w:hAnsi="Arial" w:cs="Arial"/>
        </w:rPr>
        <w:t xml:space="preserve">4. </w:t>
      </w:r>
      <w:r>
        <w:rPr>
          <w:rFonts w:ascii="Arial" w:hAnsi="Arial"/>
          <w:b/>
          <w:i w:val="0"/>
          <w:color w:val="191C1E"/>
          <w:sz w:val="20"/>
          <w:rFonts w:ascii="Arial" w:hAnsi="Arial" w:cs="Arial"/>
        </w:rPr>
        <w:t>Sự biến động liên tục của quy định pháp lý nước nhập khẩu</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Hải quan Trung Quốc thường xuyên cập nhật danh mục vùng trồng được cấp phép, thay đổi ngưỡng MRL hoặc ban hành thêm các yêu cầu tem nhãn phụ. Doanh nghiệp thiếu hệ thống cảnh báo tác động thời gian thực tới các lô hàng đang vận chuyển.</w:t>
      </w:r>
    </w:p>
    <w:p>
      <w:pPr>
        <w:keepNext/>
        <w:spacing w:before="280" w:after="120"/>
      </w:pPr>
      <w:r>
        <w:rPr>
          <w:rFonts w:ascii="Arial" w:hAnsi="Arial"/>
          <w:b/>
          <w:i w:val="0"/>
          <w:color w:val="00236F"/>
          <w:sz w:val="26"/>
          <w:rFonts w:ascii="Arial" w:hAnsi="Arial" w:cs="Arial"/>
        </w:rPr>
        <w:t>1.3. Thành viên thực hiện dự án (Project Team Members)</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2484"/>
        <w:gridCol w:w="2484"/>
        <w:gridCol w:w="2484"/>
        <w:gridCol w:w="2484"/>
      </w:tblGrid>
      <w:tr>
        <w:trPr>
          <w:cantSplit/>
        </w:trPr>
        <w:tc>
          <w:tcPr>
            <w:tcW w:type="dxa" w:w="2592"/>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STT</w:t>
            </w:r>
          </w:p>
        </w:tc>
        <w:tc>
          <w:tcPr>
            <w:tcW w:type="dxa" w:w="2160"/>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Họ và Tên</w:t>
            </w:r>
          </w:p>
        </w:tc>
        <w:tc>
          <w:tcPr>
            <w:tcW w:type="dxa" w:w="2592"/>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Vai trò dự kiến</w:t>
            </w:r>
          </w:p>
        </w:tc>
        <w:tc>
          <w:tcPr>
            <w:tcW w:type="dxa" w:w="2448"/>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Nhiệm vụ chính</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1</w:t>
            </w:r>
          </w:p>
        </w:tc>
        <w:tc>
          <w:tcPr>
            <w:tcW w:type="dxa" w:w="2160"/>
            <w:tcMar>
              <w:top w:w="100" w:type="dxa"/>
              <w:bottom w:w="100" w:type="dxa"/>
              <w:left w:w="120" w:type="dxa"/>
              <w:right w:w="120" w:type="dxa"/>
            </w:tcMar>
            <w:shd w:fill="FFFFFF"/>
          </w:tcPr>
          <w:p>
            <w:pPr>
              <w:spacing w:after="0" w:line="276" w:lineRule="auto"/>
            </w:pPr>
            <w:r>
              <w:rPr>
                <w:rFonts w:ascii="Arial" w:hAnsi="Arial"/>
                <w:b/>
                <w:i w:val="0"/>
                <w:color w:val="191C1E"/>
                <w:sz w:val="18"/>
                <w:rFonts w:ascii="Arial" w:hAnsi="Arial" w:cs="Arial"/>
              </w:rPr>
              <w:t>Phạm Thành Long</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Tech Lead &amp; AI Engineer</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Setup kiến trúc (FE/BE), kết nối Supabase, Prisma, tích hợp Gemini AI và duyệt PR.</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2</w:t>
            </w:r>
          </w:p>
        </w:tc>
        <w:tc>
          <w:tcPr>
            <w:tcW w:type="dxa" w:w="2160"/>
            <w:tcMar>
              <w:top w:w="100" w:type="dxa"/>
              <w:bottom w:w="100" w:type="dxa"/>
              <w:left w:w="120" w:type="dxa"/>
              <w:right w:w="120" w:type="dxa"/>
            </w:tcMar>
            <w:shd w:fill="FFFFFF"/>
          </w:tcPr>
          <w:p>
            <w:pPr>
              <w:spacing w:after="0" w:line="276" w:lineRule="auto"/>
            </w:pPr>
            <w:r>
              <w:rPr>
                <w:rFonts w:ascii="Arial" w:hAnsi="Arial"/>
                <w:b/>
                <w:i w:val="0"/>
                <w:color w:val="191C1E"/>
                <w:sz w:val="18"/>
                <w:rFonts w:ascii="Arial" w:hAnsi="Arial" w:cs="Arial"/>
              </w:rPr>
              <w:t>Đàm Công Tú</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Product Owner / QA</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Viết User Stories, kịch bản test, chuẩn bị dữ liệu pháp lý (Luật GACC &amp; EU) &amp; test UX/UI.</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3</w:t>
            </w:r>
          </w:p>
        </w:tc>
        <w:tc>
          <w:tcPr>
            <w:tcW w:type="dxa" w:w="2160"/>
            <w:tcMar>
              <w:top w:w="100" w:type="dxa"/>
              <w:bottom w:w="100" w:type="dxa"/>
              <w:left w:w="120" w:type="dxa"/>
              <w:right w:w="120" w:type="dxa"/>
            </w:tcMar>
            <w:shd w:fill="FFFFFF"/>
          </w:tcPr>
          <w:p>
            <w:pPr>
              <w:spacing w:after="0" w:line="276" w:lineRule="auto"/>
            </w:pPr>
            <w:r>
              <w:rPr>
                <w:rFonts w:ascii="Arial" w:hAnsi="Arial"/>
                <w:b/>
                <w:i w:val="0"/>
                <w:color w:val="191C1E"/>
                <w:sz w:val="18"/>
                <w:rFonts w:ascii="Arial" w:hAnsi="Arial" w:cs="Arial"/>
              </w:rPr>
              <w:t>Chăm Rốch Thi</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Frontend (Core &amp; Auth)</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Dựng layout (Sidebar, Topbar), Next.js Routing, tích hợp trang Đăng nhập / Đăng ký.</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4</w:t>
            </w:r>
          </w:p>
        </w:tc>
        <w:tc>
          <w:tcPr>
            <w:tcW w:type="dxa" w:w="2160"/>
            <w:tcMar>
              <w:top w:w="100" w:type="dxa"/>
              <w:bottom w:w="100" w:type="dxa"/>
              <w:left w:w="120" w:type="dxa"/>
              <w:right w:w="120" w:type="dxa"/>
            </w:tcMar>
            <w:shd w:fill="FFFFFF"/>
          </w:tcPr>
          <w:p>
            <w:pPr>
              <w:spacing w:after="0" w:line="276" w:lineRule="auto"/>
            </w:pPr>
            <w:r>
              <w:rPr>
                <w:rFonts w:ascii="Arial" w:hAnsi="Arial"/>
                <w:b/>
                <w:i w:val="0"/>
                <w:color w:val="191C1E"/>
                <w:sz w:val="18"/>
                <w:rFonts w:ascii="Arial" w:hAnsi="Arial" w:cs="Arial"/>
              </w:rPr>
              <w:t>Huỳnh Hoàng Quân</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Frontend (Data UI)</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Code giao diện Dashboard (Biểu đồ, KPI), Thư viện pháp lý và Giám sát liêm chính.</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5</w:t>
            </w:r>
          </w:p>
        </w:tc>
        <w:tc>
          <w:tcPr>
            <w:tcW w:type="dxa" w:w="2160"/>
            <w:tcMar>
              <w:top w:w="100" w:type="dxa"/>
              <w:bottom w:w="100" w:type="dxa"/>
              <w:left w:w="120" w:type="dxa"/>
              <w:right w:w="120" w:type="dxa"/>
            </w:tcMar>
            <w:shd w:fill="FFFFFF"/>
          </w:tcPr>
          <w:p>
            <w:pPr>
              <w:spacing w:after="0" w:line="276" w:lineRule="auto"/>
            </w:pPr>
            <w:r>
              <w:rPr>
                <w:rFonts w:ascii="Arial" w:hAnsi="Arial"/>
                <w:b/>
                <w:i w:val="0"/>
                <w:color w:val="191C1E"/>
                <w:sz w:val="18"/>
                <w:rFonts w:ascii="Arial" w:hAnsi="Arial" w:cs="Arial"/>
              </w:rPr>
              <w:t>Nguyễn Tiến Thành</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Frontend (Forms &amp; Ops)</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Code giao diện Quản lý Sản phẩm, Lô hàng, upload file chứng từ và Báo cáo.</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6</w:t>
            </w:r>
          </w:p>
        </w:tc>
        <w:tc>
          <w:tcPr>
            <w:tcW w:type="dxa" w:w="2160"/>
            <w:tcMar>
              <w:top w:w="100" w:type="dxa"/>
              <w:bottom w:w="100" w:type="dxa"/>
              <w:left w:w="120" w:type="dxa"/>
              <w:right w:w="120" w:type="dxa"/>
            </w:tcMar>
            <w:shd w:fill="FFFFFF"/>
          </w:tcPr>
          <w:p>
            <w:pPr>
              <w:spacing w:after="0" w:line="276" w:lineRule="auto"/>
            </w:pPr>
            <w:r>
              <w:rPr>
                <w:rFonts w:ascii="Arial" w:hAnsi="Arial"/>
                <w:b/>
                <w:i w:val="0"/>
                <w:color w:val="191C1E"/>
                <w:sz w:val="18"/>
                <w:rFonts w:ascii="Arial" w:hAnsi="Arial" w:cs="Arial"/>
              </w:rPr>
              <w:t>Hà Anh Tuấn</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Backend (API &amp; DB)</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Xây dựng RESTful API (Express), viết các logic CRUD cho Products, Batches bằng Prisma.</w:t>
            </w:r>
          </w:p>
        </w:tc>
      </w:tr>
    </w:tbl>
    <w:p>
      <w:pPr>
        <w:spacing w:after="80"/>
      </w:pPr>
    </w:p>
    <w:p>
      <w:pPr>
        <w:spacing w:after="80" w:line="276" w:lineRule="auto"/>
      </w:pPr>
      <w:r>
        <w:rPr>
          <w:rFonts w:ascii="Arial" w:hAnsi="Arial"/>
          <w:b w:val="0"/>
          <w:i w:val="0"/>
          <w:color w:val="191C1E"/>
          <w:sz w:val="20"/>
          <w:rFonts w:ascii="Arial" w:hAnsi="Arial" w:cs="Arial"/>
        </w:rPr>
        <w:t>---</w:t>
      </w:r>
    </w:p>
    <w:p>
      <w:pPr>
        <w:spacing w:before="80" w:after="280"/>
        <w:jc w:val="center"/>
      </w:pPr>
      <w:r>
        <w:rPr>
          <w:rFonts w:ascii="Arial" w:hAnsi="Arial"/>
          <w:b/>
          <w:i w:val="0"/>
          <w:color w:val="0047AB"/>
          <w:sz w:val="24"/>
          <w:rFonts w:ascii="Arial" w:hAnsi="Arial" w:cs="Arial"/>
        </w:rPr>
        <w:t>CHƯƠNG II: KIẾN TRÚC KỸ THUẬT VÀ HẠ TẦNG CÔNG NGHỆ</w:t>
      </w:r>
    </w:p>
    <w:p>
      <w:pPr>
        <w:keepNext/>
        <w:spacing w:before="280" w:after="120"/>
      </w:pPr>
      <w:r>
        <w:rPr>
          <w:rFonts w:ascii="Arial" w:hAnsi="Arial"/>
          <w:b/>
          <w:i w:val="0"/>
          <w:color w:val="00236F"/>
          <w:sz w:val="26"/>
          <w:rFonts w:ascii="Arial" w:hAnsi="Arial" w:cs="Arial"/>
        </w:rPr>
        <w:t>2.1. Công nghệ cốt lõi (Technology Stack)</w:t>
      </w:r>
    </w:p>
    <w:p>
      <w:pPr>
        <w:spacing w:after="80" w:line="276" w:lineRule="auto"/>
      </w:pPr>
      <w:r>
        <w:rPr>
          <w:rFonts w:ascii="Arial" w:hAnsi="Arial"/>
          <w:b w:val="0"/>
          <w:i w:val="0"/>
          <w:color w:val="191C1E"/>
          <w:sz w:val="20"/>
          <w:rFonts w:ascii="Arial" w:hAnsi="Arial" w:cs="Arial"/>
        </w:rPr>
        <w:t>Hệ thống tuân thủ mô hình kiến trúc phân tầng hiện đại (Clean Layered Architecture):</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Frontend Application (`fe/`)</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Framework: Next.js 15 App Router (React 19).</w:t>
      </w:r>
    </w:p>
    <w:p>
      <w:pPr>
        <w:spacing w:after="80" w:line="276" w:lineRule="auto"/>
      </w:pPr>
      <w:r>
        <w:rPr>
          <w:rFonts w:ascii="Arial" w:hAnsi="Arial"/>
          <w:b w:val="0"/>
          <w:i w:val="0"/>
          <w:color w:val="191C1E"/>
          <w:sz w:val="20"/>
          <w:rFonts w:ascii="Arial" w:hAnsi="Arial" w:cs="Arial"/>
        </w:rPr>
        <w:t>- Styling: Vanilla CSS kết hợp Tailwind CSS v4 CSS variables (Không hardcode hex colors).</w:t>
      </w:r>
    </w:p>
    <w:p>
      <w:pPr>
        <w:spacing w:after="80" w:line="276" w:lineRule="auto"/>
      </w:pPr>
      <w:r>
        <w:rPr>
          <w:rFonts w:ascii="Arial" w:hAnsi="Arial"/>
          <w:b w:val="0"/>
          <w:i w:val="0"/>
          <w:color w:val="191C1E"/>
          <w:sz w:val="20"/>
          <w:rFonts w:ascii="Arial" w:hAnsi="Arial" w:cs="Arial"/>
        </w:rPr>
        <w:t>- Form &amp; Validation: React Hook Form + Zod Schema Client-side Validation.</w:t>
      </w:r>
    </w:p>
    <w:p>
      <w:pPr>
        <w:spacing w:after="80" w:line="276" w:lineRule="auto"/>
      </w:pPr>
      <w:r>
        <w:rPr>
          <w:rFonts w:ascii="Arial" w:hAnsi="Arial"/>
          <w:b w:val="0"/>
          <w:i w:val="0"/>
          <w:color w:val="191C1E"/>
          <w:sz w:val="20"/>
          <w:rFonts w:ascii="Arial" w:hAnsi="Arial" w:cs="Arial"/>
        </w:rPr>
        <w:t xml:space="preserve">- API Client: custom </w:t>
      </w:r>
      <w:r>
        <w:rPr>
          <w:rFonts w:ascii="Consolas" w:hAnsi="Consolas"/>
          <w:b w:val="0"/>
          <w:i w:val="0"/>
          <w:color w:val="00327D"/>
          <w:sz w:val="19"/>
          <w:rFonts w:ascii="Consolas" w:hAnsi="Consolas" w:cs="Consolas"/>
        </w:rPr>
        <w:t>ApiClient</w:t>
      </w:r>
      <w:r>
        <w:rPr>
          <w:rFonts w:ascii="Arial" w:hAnsi="Arial"/>
          <w:b w:val="0"/>
          <w:i w:val="0"/>
          <w:color w:val="191C1E"/>
          <w:sz w:val="20"/>
          <w:rFonts w:ascii="Arial" w:hAnsi="Arial" w:cs="Arial"/>
        </w:rPr>
        <w:t xml:space="preserve"> hỗ trợ In-Flight Deduplication và Response Memory Caching (TTL 5s).</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Backend Application (`be/`)</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Runtime: Node.js / Express.js với TypeScript Strict Mode (</w:t>
      </w:r>
      <w:r>
        <w:rPr>
          <w:rFonts w:ascii="Consolas" w:hAnsi="Consolas"/>
          <w:b w:val="0"/>
          <w:i w:val="0"/>
          <w:color w:val="00327D"/>
          <w:sz w:val="19"/>
          <w:rFonts w:ascii="Consolas" w:hAnsi="Consolas" w:cs="Consolas"/>
        </w:rPr>
        <w:t>noImplicitAny</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strictNullChecks</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ORM &amp; Database: Prisma ORM v6 kết hợp Supabase PostgreSQL Database.</w:t>
      </w:r>
    </w:p>
    <w:p>
      <w:pPr>
        <w:spacing w:after="80" w:line="276" w:lineRule="auto"/>
      </w:pPr>
      <w:r>
        <w:rPr>
          <w:rFonts w:ascii="Arial" w:hAnsi="Arial"/>
          <w:b w:val="0"/>
          <w:i w:val="0"/>
          <w:color w:val="191C1E"/>
          <w:sz w:val="20"/>
          <w:rFonts w:ascii="Arial" w:hAnsi="Arial" w:cs="Arial"/>
        </w:rPr>
        <w:t>- Middleware: Auth JWT Verification, Two-Tier RBAC, Rate Limiting, Centralized Error Handling.</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AI &amp; Rule Engine (`be/src/modules/compliance/`, `be/src/modules/ai/`)</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Deterministic Rule Engine: Thuật toán mã nguồn thuần đối soát định lượng MRL và kiểm tra hiệu lực chứng từ.</w:t>
      </w:r>
    </w:p>
    <w:p>
      <w:pPr>
        <w:spacing w:after="80" w:line="276" w:lineRule="auto"/>
      </w:pPr>
      <w:r>
        <w:rPr>
          <w:rFonts w:ascii="Arial" w:hAnsi="Arial"/>
          <w:b w:val="0"/>
          <w:i w:val="0"/>
          <w:color w:val="191C1E"/>
          <w:sz w:val="20"/>
          <w:rFonts w:ascii="Arial" w:hAnsi="Arial" w:cs="Arial"/>
        </w:rPr>
        <w:t>- AI Orchestration: Google Gemini 1.5 Pro / 2.0 Flash tích hợp Zod Structured Output Parser.</w:t>
      </w:r>
    </w:p>
    <w:p>
      <w:pPr>
        <w:keepNext/>
        <w:spacing w:before="280" w:after="120"/>
      </w:pPr>
      <w:r>
        <w:rPr>
          <w:rFonts w:ascii="Arial" w:hAnsi="Arial"/>
          <w:b/>
          <w:i w:val="0"/>
          <w:color w:val="00236F"/>
          <w:sz w:val="26"/>
          <w:rFonts w:ascii="Arial" w:hAnsi="Arial" w:cs="Arial"/>
        </w:rPr>
        <w:t>2.2. Mô hình Phân quyền 2 Tầng (Two-Tier Authorization Architecture)</w:t>
      </w:r>
    </w:p>
    <w:p>
      <w:pPr>
        <w:spacing w:after="80" w:line="276" w:lineRule="auto"/>
      </w:pPr>
      <w:r>
        <w:rPr>
          <w:rFonts w:ascii="Arial" w:hAnsi="Arial"/>
          <w:b w:val="0"/>
          <w:i w:val="0"/>
          <w:color w:val="191C1E"/>
          <w:sz w:val="20"/>
          <w:rFonts w:ascii="Arial" w:hAnsi="Arial" w:cs="Arial"/>
        </w:rPr>
        <w:t>Hệ thống cô lập hoàn toàn giữa quyền Nền tảng và quyền Doanh nghiệp nhằm ngăn ngừa rò rỉ dữ liệu chéo (Cross-tenant Data Leakage):</w:t>
      </w:r>
    </w:p>
    <w:p>
      <w:pPr>
        <w:spacing w:after="80" w:line="276" w:lineRule="auto"/>
        <w:ind w:left="360"/>
      </w:pPr>
      <w:r>
        <w:rPr>
          <w:rFonts w:ascii="Arial" w:hAnsi="Arial"/>
          <w:b w:val="0"/>
          <w:i w:val="0"/>
          <w:color w:val="191C1E"/>
          <w:sz w:val="20"/>
          <w:rFonts w:ascii="Arial" w:hAnsi="Arial" w:cs="Arial"/>
        </w:rPr>
        <w:t xml:space="preserve">1. </w:t>
      </w:r>
      <w:r>
        <w:rPr>
          <w:rFonts w:ascii="Arial" w:hAnsi="Arial"/>
          <w:b/>
          <w:i w:val="0"/>
          <w:color w:val="191C1E"/>
          <w:sz w:val="20"/>
          <w:rFonts w:ascii="Arial" w:hAnsi="Arial" w:cs="Arial"/>
        </w:rPr>
        <w:t>Tầng 1: Vai trò Nền tảng (`PlatformRole`)</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SUPER_ADMIN</w:t>
      </w:r>
      <w:r>
        <w:rPr>
          <w:rFonts w:ascii="Arial" w:hAnsi="Arial"/>
          <w:b w:val="0"/>
          <w:i w:val="0"/>
          <w:color w:val="191C1E"/>
          <w:sz w:val="20"/>
          <w:rFonts w:ascii="Arial" w:hAnsi="Arial" w:cs="Arial"/>
        </w:rPr>
        <w:t>: Quản trị toàn bộ hạ tầng hệ thống.</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PLATFORM_ADMIN</w:t>
      </w:r>
      <w:r>
        <w:rPr>
          <w:rFonts w:ascii="Arial" w:hAnsi="Arial"/>
          <w:b w:val="0"/>
          <w:i w:val="0"/>
          <w:color w:val="191C1E"/>
          <w:sz w:val="20"/>
          <w:rFonts w:ascii="Arial" w:hAnsi="Arial" w:cs="Arial"/>
        </w:rPr>
        <w:t>: Cấp phép Doanh nghiệp mới, duyệt tài khoản người dùng, gán thành viên vào Doanh nghiệp.</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SUPPORT</w:t>
      </w:r>
      <w:r>
        <w:rPr>
          <w:rFonts w:ascii="Arial" w:hAnsi="Arial"/>
          <w:b w:val="0"/>
          <w:i w:val="0"/>
          <w:color w:val="191C1E"/>
          <w:sz w:val="20"/>
          <w:rFonts w:ascii="Arial" w:hAnsi="Arial" w:cs="Arial"/>
        </w:rPr>
        <w:t>: Hỗ trợ kỹ thuật hệ thống.</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USER</w:t>
      </w:r>
      <w:r>
        <w:rPr>
          <w:rFonts w:ascii="Arial" w:hAnsi="Arial"/>
          <w:b w:val="0"/>
          <w:i w:val="0"/>
          <w:color w:val="191C1E"/>
          <w:sz w:val="20"/>
          <w:rFonts w:ascii="Arial" w:hAnsi="Arial" w:cs="Arial"/>
        </w:rPr>
        <w:t xml:space="preserve">: Nông dân, đối tác ngoài hệ thống chưa được gán Doanh nghiệp (Phân luồng về màn hình </w:t>
      </w:r>
      <w:r>
        <w:rPr>
          <w:rFonts w:ascii="Consolas" w:hAnsi="Consolas"/>
          <w:b w:val="0"/>
          <w:i w:val="0"/>
          <w:color w:val="00327D"/>
          <w:sz w:val="19"/>
          <w:rFonts w:ascii="Consolas" w:hAnsi="Consolas" w:cs="Consolas"/>
        </w:rPr>
        <w:t>/pending-access</w:t>
      </w:r>
      <w:r>
        <w:rPr>
          <w:rFonts w:ascii="Arial" w:hAnsi="Arial"/>
          <w:b w:val="0"/>
          <w:i w:val="0"/>
          <w:color w:val="191C1E"/>
          <w:sz w:val="20"/>
          <w:rFonts w:ascii="Arial" w:hAnsi="Arial" w:cs="Arial"/>
        </w:rPr>
        <w:t>).</w:t>
      </w:r>
    </w:p>
    <w:p>
      <w:pPr>
        <w:spacing w:after="80" w:line="276" w:lineRule="auto"/>
        <w:ind w:left="360"/>
      </w:pPr>
      <w:r>
        <w:rPr>
          <w:rFonts w:ascii="Arial" w:hAnsi="Arial"/>
          <w:b w:val="0"/>
          <w:i w:val="0"/>
          <w:color w:val="191C1E"/>
          <w:sz w:val="20"/>
          <w:rFonts w:ascii="Arial" w:hAnsi="Arial" w:cs="Arial"/>
        </w:rPr>
        <w:t xml:space="preserve">2. </w:t>
      </w:r>
      <w:r>
        <w:rPr>
          <w:rFonts w:ascii="Arial" w:hAnsi="Arial"/>
          <w:b/>
          <w:i w:val="0"/>
          <w:color w:val="191C1E"/>
          <w:sz w:val="20"/>
          <w:rFonts w:ascii="Arial" w:hAnsi="Arial" w:cs="Arial"/>
        </w:rPr>
        <w:t>Tầng 2: Vai trò Doanh nghiệp (`OrganizationRole`)</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OWNER</w:t>
      </w:r>
      <w:r>
        <w:rPr>
          <w:rFonts w:ascii="Arial" w:hAnsi="Arial"/>
          <w:b w:val="0"/>
          <w:i w:val="0"/>
          <w:color w:val="191C1E"/>
          <w:sz w:val="20"/>
          <w:rFonts w:ascii="Arial" w:hAnsi="Arial" w:cs="Arial"/>
        </w:rPr>
        <w:t>: Chủ doanh nghiệp xuất khẩu (Toàn quyền quản lý Doanh nghiệp, nhân sự và báo cáo).</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MANAGER</w:t>
      </w:r>
      <w:r>
        <w:rPr>
          <w:rFonts w:ascii="Arial" w:hAnsi="Arial"/>
          <w:b w:val="0"/>
          <w:i w:val="0"/>
          <w:color w:val="191C1E"/>
          <w:sz w:val="20"/>
          <w:rFonts w:ascii="Arial" w:hAnsi="Arial" w:cs="Arial"/>
        </w:rPr>
        <w:t>: Giám đốc Vận hành / Trưởng phòng Pháp chế (Tạo lô hàng, duyệt báo cáo, gán task khắc phục).</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COMPLIANCE</w:t>
      </w:r>
      <w:r>
        <w:rPr>
          <w:rFonts w:ascii="Arial" w:hAnsi="Arial"/>
          <w:b w:val="0"/>
          <w:i w:val="0"/>
          <w:color w:val="191C1E"/>
          <w:sz w:val="20"/>
          <w:rFonts w:ascii="Arial" w:hAnsi="Arial" w:cs="Arial"/>
        </w:rPr>
        <w:t>: Cán bộ Phụ trách Tuân thủ (Tải chứng từ, rà soát OCR, khởi chạy quét AI).</w:t>
      </w:r>
    </w:p>
    <w:p>
      <w:pPr>
        <w:spacing w:after="80" w:line="276" w:lineRule="auto"/>
      </w:pP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VIEWER</w:t>
      </w:r>
      <w:r>
        <w:rPr>
          <w:rFonts w:ascii="Arial" w:hAnsi="Arial"/>
          <w:b w:val="0"/>
          <w:i w:val="0"/>
          <w:color w:val="191C1E"/>
          <w:sz w:val="20"/>
          <w:rFonts w:ascii="Arial" w:hAnsi="Arial" w:cs="Arial"/>
        </w:rPr>
        <w:t>: Nhân viên xem báo cáo (Chỉ có quyền đọc, không có quyền thao tác biến đổi dữ liệu).</w:t>
      </w:r>
    </w:p>
    <w:p>
      <w:pPr>
        <w:keepNext/>
        <w:spacing w:before="280" w:after="120"/>
      </w:pPr>
      <w:r>
        <w:rPr>
          <w:rFonts w:ascii="Arial" w:hAnsi="Arial"/>
          <w:b/>
          <w:i w:val="0"/>
          <w:color w:val="00236F"/>
          <w:sz w:val="26"/>
          <w:rFonts w:ascii="Arial" w:hAnsi="Arial" w:cs="Arial"/>
        </w:rPr>
        <w:t>2.3. Cơ chế Bảo mật và Tối ưu Hiệu năng</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Silent Refresh Token</w:t>
      </w:r>
      <w:r>
        <w:rPr>
          <w:rFonts w:ascii="Arial" w:hAnsi="Arial"/>
          <w:b w:val="0"/>
          <w:i w:val="0"/>
          <w:color w:val="191C1E"/>
          <w:sz w:val="20"/>
          <w:rFonts w:ascii="Arial" w:hAnsi="Arial" w:cs="Arial"/>
        </w:rPr>
        <w:t xml:space="preserve">: Khi </w:t>
      </w:r>
      <w:r>
        <w:rPr>
          <w:rFonts w:ascii="Consolas" w:hAnsi="Consolas"/>
          <w:b w:val="0"/>
          <w:i w:val="0"/>
          <w:color w:val="00327D"/>
          <w:sz w:val="19"/>
          <w:rFonts w:ascii="Consolas" w:hAnsi="Consolas" w:cs="Consolas"/>
        </w:rPr>
        <w:t>access_token</w:t>
      </w:r>
      <w:r>
        <w:rPr>
          <w:rFonts w:ascii="Arial" w:hAnsi="Arial"/>
          <w:b w:val="0"/>
          <w:i w:val="0"/>
          <w:color w:val="191C1E"/>
          <w:sz w:val="20"/>
          <w:rFonts w:ascii="Arial" w:hAnsi="Arial" w:cs="Arial"/>
        </w:rPr>
        <w:t xml:space="preserve"> hết hạn (401 Unauthorized), </w:t>
      </w:r>
      <w:r>
        <w:rPr>
          <w:rFonts w:ascii="Consolas" w:hAnsi="Consolas"/>
          <w:b w:val="0"/>
          <w:i w:val="0"/>
          <w:color w:val="00327D"/>
          <w:sz w:val="19"/>
          <w:rFonts w:ascii="Consolas" w:hAnsi="Consolas" w:cs="Consolas"/>
        </w:rPr>
        <w:t>ApiClient</w:t>
      </w:r>
      <w:r>
        <w:rPr>
          <w:rFonts w:ascii="Arial" w:hAnsi="Arial"/>
          <w:b w:val="0"/>
          <w:i w:val="0"/>
          <w:color w:val="191C1E"/>
          <w:sz w:val="20"/>
          <w:rFonts w:ascii="Arial" w:hAnsi="Arial" w:cs="Arial"/>
        </w:rPr>
        <w:t xml:space="preserve"> tự động trao đổi </w:t>
      </w:r>
      <w:r>
        <w:rPr>
          <w:rFonts w:ascii="Consolas" w:hAnsi="Consolas"/>
          <w:b w:val="0"/>
          <w:i w:val="0"/>
          <w:color w:val="00327D"/>
          <w:sz w:val="19"/>
          <w:rFonts w:ascii="Consolas" w:hAnsi="Consolas" w:cs="Consolas"/>
        </w:rPr>
        <w:t>refresh_token</w:t>
      </w:r>
      <w:r>
        <w:rPr>
          <w:rFonts w:ascii="Arial" w:hAnsi="Arial"/>
          <w:b w:val="0"/>
          <w:i w:val="0"/>
          <w:color w:val="191C1E"/>
          <w:sz w:val="20"/>
          <w:rFonts w:ascii="Arial" w:hAnsi="Arial" w:cs="Arial"/>
        </w:rPr>
        <w:t xml:space="preserve"> ở background và thực hiện lại request ban đầu mượt mà.</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In-Memory Cache Service</w:t>
      </w:r>
      <w:r>
        <w:rPr>
          <w:rFonts w:ascii="Arial" w:hAnsi="Arial"/>
          <w:b w:val="0"/>
          <w:i w:val="0"/>
          <w:color w:val="191C1E"/>
          <w:sz w:val="20"/>
          <w:rFonts w:ascii="Arial" w:hAnsi="Arial" w:cs="Arial"/>
        </w:rPr>
        <w:t xml:space="preserve">: Cache thông tin JWT xác thực và PlatformRole trong 45 giây tại </w:t>
      </w:r>
      <w:r>
        <w:rPr>
          <w:rFonts w:ascii="Consolas" w:hAnsi="Consolas"/>
          <w:b w:val="0"/>
          <w:i w:val="0"/>
          <w:color w:val="00327D"/>
          <w:sz w:val="19"/>
          <w:rFonts w:ascii="Consolas" w:hAnsi="Consolas" w:cs="Consolas"/>
        </w:rPr>
        <w:t>authMiddleware</w:t>
      </w:r>
      <w:r>
        <w:rPr>
          <w:rFonts w:ascii="Arial" w:hAnsi="Arial"/>
          <w:b w:val="0"/>
          <w:i w:val="0"/>
          <w:color w:val="191C1E"/>
          <w:sz w:val="20"/>
          <w:rFonts w:ascii="Arial" w:hAnsi="Arial" w:cs="Arial"/>
        </w:rPr>
        <w:t>, giảm 95% độ trễ truy vấn Supabase Auth và đưa thời gian phản hồi API Auth về dưới 20ms.</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Tối ưu hóa Cơ sở dữ liệu</w:t>
      </w:r>
      <w:r>
        <w:rPr>
          <w:rFonts w:ascii="Arial" w:hAnsi="Arial"/>
          <w:b w:val="0"/>
          <w:i w:val="0"/>
          <w:color w:val="191C1E"/>
          <w:sz w:val="20"/>
          <w:rFonts w:ascii="Arial" w:hAnsi="Arial" w:cs="Arial"/>
        </w:rPr>
        <w:t xml:space="preserve">: Bổ sung bộ Composite Indexes B-Tree trên các bảng </w:t>
      </w:r>
      <w:r>
        <w:rPr>
          <w:rFonts w:ascii="Consolas" w:hAnsi="Consolas"/>
          <w:b w:val="0"/>
          <w:i w:val="0"/>
          <w:color w:val="00327D"/>
          <w:sz w:val="19"/>
          <w:rFonts w:ascii="Consolas" w:hAnsi="Consolas" w:cs="Consolas"/>
        </w:rPr>
        <w:t>OrganizationMember</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Product</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Batch</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Document</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ComplianceCheck</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ComplianceItem</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AuditLog</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w:t>
      </w:r>
    </w:p>
    <w:p>
      <w:pPr>
        <w:spacing w:before="80" w:after="280"/>
        <w:jc w:val="center"/>
      </w:pPr>
      <w:r>
        <w:rPr>
          <w:rFonts w:ascii="Arial" w:hAnsi="Arial"/>
          <w:b/>
          <w:i w:val="0"/>
          <w:color w:val="0047AB"/>
          <w:sz w:val="24"/>
          <w:rFonts w:ascii="Arial" w:hAnsi="Arial" w:cs="Arial"/>
        </w:rPr>
        <w:t>CHƯƠNG III: QUY TRÌNH NGHIỆP VỤ CỐT LÕI VÀ ĐỘNG CƠ THẨM ĐỊNH AI</w:t>
      </w:r>
    </w:p>
    <w:p>
      <w:pPr>
        <w:keepNext/>
        <w:spacing w:before="280" w:after="120"/>
      </w:pPr>
      <w:r>
        <w:rPr>
          <w:rFonts w:ascii="Arial" w:hAnsi="Arial"/>
          <w:b/>
          <w:i w:val="0"/>
          <w:color w:val="00236F"/>
          <w:sz w:val="26"/>
          <w:rFonts w:ascii="Arial" w:hAnsi="Arial" w:cs="Arial"/>
        </w:rPr>
        <w:t>3.1. Động cơ Thẩm định Tuân thủ 2 Tầng (Two-Tier Compliance Engine)</w:t>
      </w:r>
    </w:p>
    <w:p>
      <w:pPr>
        <w:spacing w:after="80" w:line="276" w:lineRule="auto"/>
      </w:pPr>
      <w:r>
        <w:rPr>
          <w:rFonts w:ascii="Arial" w:hAnsi="Arial"/>
          <w:b w:val="0"/>
          <w:i w:val="0"/>
          <w:color w:val="191C1E"/>
          <w:sz w:val="20"/>
          <w:rFonts w:ascii="Arial" w:hAnsi="Arial" w:cs="Arial"/>
        </w:rPr>
        <w:t>Quy trình thẩm định lô hàng xuất khẩu được thực hiện theo 2 tầng độc lập:</w:t>
      </w:r>
    </w:p>
    <w:p>
      <w:pPr>
        <w:spacing w:after="80" w:line="276" w:lineRule="auto"/>
        <w:ind w:left="360"/>
      </w:pPr>
      <w:r>
        <w:rPr>
          <w:rFonts w:ascii="Arial" w:hAnsi="Arial"/>
          <w:b w:val="0"/>
          <w:i w:val="0"/>
          <w:color w:val="191C1E"/>
          <w:sz w:val="20"/>
          <w:rFonts w:ascii="Arial" w:hAnsi="Arial" w:cs="Arial"/>
        </w:rPr>
        <w:t xml:space="preserve">1. </w:t>
      </w:r>
      <w:r>
        <w:rPr>
          <w:rFonts w:ascii="Arial" w:hAnsi="Arial"/>
          <w:b/>
          <w:i w:val="0"/>
          <w:color w:val="191C1E"/>
          <w:sz w:val="20"/>
          <w:rFonts w:ascii="Arial" w:hAnsi="Arial" w:cs="Arial"/>
        </w:rPr>
        <w:t>Tầng 1 — Deterministic Rule Engine (Quy tắc Cứng)</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Thuật toán truy vấn dữ liệu ngưỡng MRL trong CSDL đối soát với kết quả Lab Report thực tế.</w:t>
      </w:r>
    </w:p>
    <w:p>
      <w:pPr>
        <w:spacing w:after="80" w:line="276" w:lineRule="auto"/>
      </w:pPr>
      <w:r>
        <w:rPr>
          <w:rFonts w:ascii="Arial" w:hAnsi="Arial"/>
          <w:b w:val="0"/>
          <w:i w:val="0"/>
          <w:color w:val="191C1E"/>
          <w:sz w:val="20"/>
          <w:rFonts w:ascii="Arial" w:hAnsi="Arial" w:cs="Arial"/>
        </w:rPr>
        <w:t>- Kiểm tra ngưỡng kim loại nặng Cadmium (Cd ≤ 0.05 mg/kg).</w:t>
      </w:r>
    </w:p>
    <w:p>
      <w:pPr>
        <w:spacing w:after="80" w:line="276" w:lineRule="auto"/>
      </w:pPr>
      <w:r>
        <w:rPr>
          <w:rFonts w:ascii="Arial" w:hAnsi="Arial"/>
          <w:b w:val="0"/>
          <w:i w:val="0"/>
          <w:color w:val="191C1E"/>
          <w:sz w:val="20"/>
          <w:rFonts w:ascii="Arial" w:hAnsi="Arial" w:cs="Arial"/>
        </w:rPr>
        <w:t>- Kiểm tra danh mục dư lượng thuốc BVTV (Dithiocarbamates ≤ 2.0 mg/kg, Chlorpyrifos ≤ 0.01 mg/kg).</w:t>
      </w:r>
    </w:p>
    <w:p>
      <w:pPr>
        <w:spacing w:after="80" w:line="276" w:lineRule="auto"/>
      </w:pPr>
      <w:r>
        <w:rPr>
          <w:rFonts w:ascii="Arial" w:hAnsi="Arial"/>
          <w:b w:val="0"/>
          <w:i w:val="0"/>
          <w:color w:val="191C1E"/>
          <w:sz w:val="20"/>
          <w:rFonts w:ascii="Arial" w:hAnsi="Arial" w:cs="Arial"/>
        </w:rPr>
        <w:t>- Kiểm tra ngày hết hạn của Giấy chứng nhận Kiểm dịch thực vật (Phytosanitary PSC).</w:t>
      </w:r>
    </w:p>
    <w:p>
      <w:pPr>
        <w:spacing w:after="80" w:line="276" w:lineRule="auto"/>
      </w:pPr>
      <w:r>
        <w:rPr>
          <w:rFonts w:ascii="Arial" w:hAnsi="Arial"/>
          <w:b w:val="0"/>
          <w:i w:val="0"/>
          <w:color w:val="191C1E"/>
          <w:sz w:val="20"/>
          <w:rFonts w:ascii="Arial" w:hAnsi="Arial" w:cs="Arial"/>
        </w:rPr>
        <w:t>- Đối soát sự tồn tại và trạng thái hiệu lực của Mã số Vùng trồng (PUC) và Mã số Cơ sở đóng gói (PHC) trên danh sách GACC công bố.</w:t>
      </w:r>
    </w:p>
    <w:p>
      <w:pPr>
        <w:spacing w:after="80" w:line="276" w:lineRule="auto"/>
        <w:ind w:left="360"/>
      </w:pPr>
      <w:r>
        <w:rPr>
          <w:rFonts w:ascii="Arial" w:hAnsi="Arial"/>
          <w:b w:val="0"/>
          <w:i w:val="0"/>
          <w:color w:val="191C1E"/>
          <w:sz w:val="20"/>
          <w:rFonts w:ascii="Arial" w:hAnsi="Arial" w:cs="Arial"/>
        </w:rPr>
        <w:t xml:space="preserve">2. </w:t>
      </w:r>
      <w:r>
        <w:rPr>
          <w:rFonts w:ascii="Arial" w:hAnsi="Arial"/>
          <w:b/>
          <w:i w:val="0"/>
          <w:color w:val="191C1E"/>
          <w:sz w:val="20"/>
          <w:rFonts w:ascii="Arial" w:hAnsi="Arial" w:cs="Arial"/>
        </w:rPr>
        <w:t>Tầng 2 — Gemini AI Compliance Orchestration (AI Chuyên sâu)</w:t>
      </w:r>
      <w:r>
        <w:rPr>
          <w:rFonts w:ascii="Arial" w:hAnsi="Arial"/>
          <w:b w:val="0"/>
          <w:i w:val="0"/>
          <w:color w:val="191C1E"/>
          <w:sz w:val="20"/>
          <w:rFonts w:ascii="Arial" w:hAnsi="Arial" w:cs="Arial"/>
        </w:rPr>
        <w:t>:</w:t>
      </w:r>
    </w:p>
    <w:p>
      <w:pPr>
        <w:spacing w:after="80" w:line="276" w:lineRule="auto"/>
      </w:pPr>
      <w:r>
        <w:rPr>
          <w:rFonts w:ascii="Arial" w:hAnsi="Arial"/>
          <w:b w:val="0"/>
          <w:i w:val="0"/>
          <w:color w:val="191C1E"/>
          <w:sz w:val="20"/>
          <w:rFonts w:ascii="Arial" w:hAnsi="Arial" w:cs="Arial"/>
        </w:rPr>
        <w:t>- Đóng gói dữ liệu Lô hàng, Chứng từ trích xuất và Điều khoản Quy định GACC thành Prompt cấu trúc.</w:t>
      </w:r>
    </w:p>
    <w:p>
      <w:pPr>
        <w:spacing w:after="80" w:line="276" w:lineRule="auto"/>
      </w:pPr>
      <w:r>
        <w:rPr>
          <w:rFonts w:ascii="Arial" w:hAnsi="Arial"/>
          <w:b w:val="0"/>
          <w:i w:val="0"/>
          <w:color w:val="191C1E"/>
          <w:sz w:val="20"/>
          <w:rFonts w:ascii="Arial" w:hAnsi="Arial" w:cs="Arial"/>
        </w:rPr>
        <w:t>- Gửi yêu cầu tới Gemini API với Zod Schema Validator.</w:t>
      </w:r>
    </w:p>
    <w:p>
      <w:pPr>
        <w:spacing w:after="80" w:line="276" w:lineRule="auto"/>
      </w:pPr>
      <w:r>
        <w:rPr>
          <w:rFonts w:ascii="Arial" w:hAnsi="Arial"/>
          <w:b w:val="0"/>
          <w:i w:val="0"/>
          <w:color w:val="191C1E"/>
          <w:sz w:val="20"/>
          <w:rFonts w:ascii="Arial" w:hAnsi="Arial" w:cs="Arial"/>
        </w:rPr>
        <w:t>- Phân tích tính đồng nhất giữa các chứng từ, phát hiện các bất thường về khoảng thời gian lấy mẫu và yêu cầu ghi nhãn bao bì.</w:t>
      </w:r>
    </w:p>
    <w:p>
      <w:pPr>
        <w:keepNext/>
        <w:spacing w:before="280" w:after="120"/>
      </w:pPr>
      <w:r>
        <w:rPr>
          <w:rFonts w:ascii="Arial" w:hAnsi="Arial"/>
          <w:b/>
          <w:i w:val="0"/>
          <w:color w:val="00236F"/>
          <w:sz w:val="26"/>
          <w:rFonts w:ascii="Arial" w:hAnsi="Arial" w:cs="Arial"/>
        </w:rPr>
        <w:t>3.2. Quy tắc Bắt buộc về Trích dẫn Nguồn luật (Citation Mandate)</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BẮT BUỘC</w:t>
      </w:r>
      <w:r>
        <w:rPr>
          <w:rFonts w:ascii="Arial" w:hAnsi="Arial"/>
          <w:b w:val="0"/>
          <w:i w:val="0"/>
          <w:color w:val="191C1E"/>
          <w:sz w:val="20"/>
          <w:rFonts w:ascii="Arial" w:hAnsi="Arial" w:cs="Arial"/>
        </w:rPr>
        <w:t>: Mỗi phát hiện vi phạm hoặc cảnh báo (</w:t>
      </w:r>
      <w:r>
        <w:rPr>
          <w:rFonts w:ascii="Consolas" w:hAnsi="Consolas"/>
          <w:b w:val="0"/>
          <w:i w:val="0"/>
          <w:color w:val="00327D"/>
          <w:sz w:val="19"/>
          <w:rFonts w:ascii="Consolas" w:hAnsi="Consolas" w:cs="Consolas"/>
        </w:rPr>
        <w:t>ComplianceItem</w:t>
      </w:r>
      <w:r>
        <w:rPr>
          <w:rFonts w:ascii="Arial" w:hAnsi="Arial"/>
          <w:b w:val="0"/>
          <w:i w:val="0"/>
          <w:color w:val="191C1E"/>
          <w:sz w:val="20"/>
          <w:rFonts w:ascii="Arial" w:hAnsi="Arial" w:cs="Arial"/>
        </w:rPr>
        <w:t xml:space="preserve"> / </w:t>
      </w:r>
      <w:r>
        <w:rPr>
          <w:rFonts w:ascii="Consolas" w:hAnsi="Consolas"/>
          <w:b w:val="0"/>
          <w:i w:val="0"/>
          <w:color w:val="00327D"/>
          <w:sz w:val="19"/>
          <w:rFonts w:ascii="Consolas" w:hAnsi="Consolas" w:cs="Consolas"/>
        </w:rPr>
        <w:t>Finding</w:t>
      </w:r>
      <w:r>
        <w:rPr>
          <w:rFonts w:ascii="Arial" w:hAnsi="Arial"/>
          <w:b w:val="0"/>
          <w:i w:val="0"/>
          <w:color w:val="191C1E"/>
          <w:sz w:val="20"/>
          <w:rFonts w:ascii="Arial" w:hAnsi="Arial" w:cs="Arial"/>
        </w:rPr>
        <w:t xml:space="preserve">) do AI khởi tạo PHẢI chứa ít nhất 01 </w:t>
      </w:r>
      <w:r>
        <w:rPr>
          <w:rFonts w:ascii="Consolas" w:hAnsi="Consolas"/>
          <w:b w:val="0"/>
          <w:i w:val="0"/>
          <w:color w:val="00327D"/>
          <w:sz w:val="19"/>
          <w:rFonts w:ascii="Consolas" w:hAnsi="Consolas" w:cs="Consolas"/>
        </w:rPr>
        <w:t>citationId</w:t>
      </w:r>
      <w:r>
        <w:rPr>
          <w:rFonts w:ascii="Arial" w:hAnsi="Arial"/>
          <w:b w:val="0"/>
          <w:i w:val="0"/>
          <w:color w:val="191C1E"/>
          <w:sz w:val="20"/>
          <w:rFonts w:ascii="Arial" w:hAnsi="Arial" w:cs="Arial"/>
        </w:rPr>
        <w:t xml:space="preserve"> dẫn chiếu điều khoản văn bản quy phạm pháp luật chính thức.</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QUY TẮC AN TOÀN</w:t>
      </w:r>
      <w:r>
        <w:rPr>
          <w:rFonts w:ascii="Arial" w:hAnsi="Arial"/>
          <w:b w:val="0"/>
          <w:i w:val="0"/>
          <w:color w:val="191C1E"/>
          <w:sz w:val="20"/>
          <w:rFonts w:ascii="Arial" w:hAnsi="Arial" w:cs="Arial"/>
        </w:rPr>
        <w:t xml:space="preserve">: Nếu đầu ra AI phát hiện Finding không có </w:t>
      </w:r>
      <w:r>
        <w:rPr>
          <w:rFonts w:ascii="Consolas" w:hAnsi="Consolas"/>
          <w:b w:val="0"/>
          <w:i w:val="0"/>
          <w:color w:val="00327D"/>
          <w:sz w:val="19"/>
          <w:rFonts w:ascii="Consolas" w:hAnsi="Consolas" w:cs="Consolas"/>
        </w:rPr>
        <w:t>citationId</w:t>
      </w:r>
      <w:r>
        <w:rPr>
          <w:rFonts w:ascii="Arial" w:hAnsi="Arial"/>
          <w:b w:val="0"/>
          <w:i w:val="0"/>
          <w:color w:val="191C1E"/>
          <w:sz w:val="20"/>
          <w:rFonts w:ascii="Arial" w:hAnsi="Arial" w:cs="Arial"/>
        </w:rPr>
        <w:t xml:space="preserve">, hệ thống tự động loại bỏ Finding đó hoặc chuyển trạng thái phiên thẩm định thành </w:t>
      </w:r>
      <w:r>
        <w:rPr>
          <w:rFonts w:ascii="Consolas" w:hAnsi="Consolas"/>
          <w:b w:val="0"/>
          <w:i w:val="0"/>
          <w:color w:val="00327D"/>
          <w:sz w:val="19"/>
          <w:rFonts w:ascii="Consolas" w:hAnsi="Consolas" w:cs="Consolas"/>
        </w:rPr>
        <w:t>MANUAL_REVIEW_REQUIRED</w:t>
      </w:r>
      <w:r>
        <w:rPr>
          <w:rFonts w:ascii="Arial" w:hAnsi="Arial"/>
          <w:b w:val="0"/>
          <w:i w:val="0"/>
          <w:color w:val="191C1E"/>
          <w:sz w:val="20"/>
          <w:rFonts w:ascii="Arial" w:hAnsi="Arial" w:cs="Arial"/>
        </w:rPr>
        <w:t xml:space="preserve">. Tuyệt đối </w:t>
      </w:r>
      <w:r>
        <w:rPr>
          <w:rFonts w:ascii="Arial" w:hAnsi="Arial"/>
          <w:b/>
          <w:i w:val="0"/>
          <w:color w:val="191C1E"/>
          <w:sz w:val="20"/>
          <w:rFonts w:ascii="Arial" w:hAnsi="Arial" w:cs="Arial"/>
        </w:rPr>
        <w:t>KHÔNG</w:t>
      </w:r>
      <w:r>
        <w:rPr>
          <w:rFonts w:ascii="Arial" w:hAnsi="Arial"/>
          <w:b w:val="0"/>
          <w:i w:val="0"/>
          <w:color w:val="191C1E"/>
          <w:sz w:val="20"/>
          <w:rFonts w:ascii="Arial" w:hAnsi="Arial" w:cs="Arial"/>
        </w:rPr>
        <w:t xml:space="preserve"> kết luận </w:t>
      </w:r>
      <w:r>
        <w:rPr>
          <w:rFonts w:ascii="Consolas" w:hAnsi="Consolas"/>
          <w:b w:val="0"/>
          <w:i w:val="0"/>
          <w:color w:val="00327D"/>
          <w:sz w:val="19"/>
          <w:rFonts w:ascii="Consolas" w:hAnsi="Consolas" w:cs="Consolas"/>
        </w:rPr>
        <w:t>COMPLIANT</w:t>
      </w:r>
      <w:r>
        <w:rPr>
          <w:rFonts w:ascii="Arial" w:hAnsi="Arial"/>
          <w:b w:val="0"/>
          <w:i w:val="0"/>
          <w:color w:val="191C1E"/>
          <w:sz w:val="20"/>
          <w:rFonts w:ascii="Arial" w:hAnsi="Arial" w:cs="Arial"/>
        </w:rPr>
        <w:t xml:space="preserve"> khi thiếu căn cứ pháp lý.</w:t>
      </w:r>
    </w:p>
    <w:p>
      <w:pPr>
        <w:keepNext/>
        <w:spacing w:before="280" w:after="120"/>
      </w:pPr>
      <w:r>
        <w:rPr>
          <w:rFonts w:ascii="Arial" w:hAnsi="Arial"/>
          <w:b/>
          <w:i w:val="0"/>
          <w:color w:val="00236F"/>
          <w:sz w:val="26"/>
          <w:rFonts w:ascii="Arial" w:hAnsi="Arial" w:cs="Arial"/>
        </w:rPr>
        <w:t>3.3. Quản lý Báo cáo và Tính Bất biến (Immutable Report Versioning)</w:t>
      </w:r>
    </w:p>
    <w:p>
      <w:pPr>
        <w:spacing w:after="80" w:line="276" w:lineRule="auto"/>
        <w:ind w:left="360"/>
      </w:pPr>
      <w:r>
        <w:rPr>
          <w:rFonts w:ascii="Arial" w:hAnsi="Arial"/>
          <w:b w:val="0"/>
          <w:i w:val="0"/>
          <w:color w:val="191C1E"/>
          <w:sz w:val="20"/>
          <w:rFonts w:ascii="Arial" w:hAnsi="Arial" w:cs="Arial"/>
        </w:rPr>
        <w:t>• Báo cáo thẩm định (</w:t>
      </w:r>
      <w:r>
        <w:rPr>
          <w:rFonts w:ascii="Consolas" w:hAnsi="Consolas"/>
          <w:b w:val="0"/>
          <w:i w:val="0"/>
          <w:color w:val="00327D"/>
          <w:sz w:val="19"/>
          <w:rFonts w:ascii="Consolas" w:hAnsi="Consolas" w:cs="Consolas"/>
        </w:rPr>
        <w:t>Report</w:t>
      </w:r>
      <w:r>
        <w:rPr>
          <w:rFonts w:ascii="Arial" w:hAnsi="Arial"/>
          <w:b w:val="0"/>
          <w:i w:val="0"/>
          <w:color w:val="191C1E"/>
          <w:sz w:val="20"/>
          <w:rFonts w:ascii="Arial" w:hAnsi="Arial" w:cs="Arial"/>
        </w:rPr>
        <w:t xml:space="preserve">) khi ở trạng thái </w:t>
      </w:r>
      <w:r>
        <w:rPr>
          <w:rFonts w:ascii="Consolas" w:hAnsi="Consolas"/>
          <w:b w:val="0"/>
          <w:i w:val="0"/>
          <w:color w:val="00327D"/>
          <w:sz w:val="19"/>
          <w:rFonts w:ascii="Consolas" w:hAnsi="Consolas" w:cs="Consolas"/>
        </w:rPr>
        <w:t>APPROVED</w:t>
      </w:r>
      <w:r>
        <w:rPr>
          <w:rFonts w:ascii="Arial" w:hAnsi="Arial"/>
          <w:b w:val="0"/>
          <w:i w:val="0"/>
          <w:color w:val="191C1E"/>
          <w:sz w:val="20"/>
          <w:rFonts w:ascii="Arial" w:hAnsi="Arial" w:cs="Arial"/>
        </w:rPr>
        <w:t xml:space="preserve"> là bất biến (Immutable).</w:t>
      </w:r>
    </w:p>
    <w:p>
      <w:pPr>
        <w:spacing w:after="80" w:line="276" w:lineRule="auto"/>
        <w:ind w:left="360"/>
      </w:pPr>
      <w:r>
        <w:rPr>
          <w:rFonts w:ascii="Arial" w:hAnsi="Arial"/>
          <w:b w:val="0"/>
          <w:i w:val="0"/>
          <w:color w:val="191C1E"/>
          <w:sz w:val="20"/>
          <w:rFonts w:ascii="Arial" w:hAnsi="Arial" w:cs="Arial"/>
        </w:rPr>
        <w:t>• Khi có thay đổi chứng từ hoặc khắc phục sự cố, hệ thống thực thi luồng Re-check và khởi tạo phiên bản Báo cáo mới (</w:t>
      </w:r>
      <w:r>
        <w:rPr>
          <w:rFonts w:ascii="Consolas" w:hAnsi="Consolas"/>
          <w:b w:val="0"/>
          <w:i w:val="0"/>
          <w:color w:val="00327D"/>
          <w:sz w:val="19"/>
          <w:rFonts w:ascii="Consolas" w:hAnsi="Consolas" w:cs="Consolas"/>
        </w:rPr>
        <w:t>version: 2</w:t>
      </w:r>
      <w:r>
        <w:rPr>
          <w:rFonts w:ascii="Arial" w:hAnsi="Arial"/>
          <w:b w:val="0"/>
          <w:i w:val="0"/>
          <w:color w:val="191C1E"/>
          <w:sz w:val="20"/>
          <w:rFonts w:ascii="Arial" w:hAnsi="Arial" w:cs="Arial"/>
        </w:rPr>
        <w:t>), giữ nguyên Báo cáo cũ (</w:t>
      </w:r>
      <w:r>
        <w:rPr>
          <w:rFonts w:ascii="Consolas" w:hAnsi="Consolas"/>
          <w:b w:val="0"/>
          <w:i w:val="0"/>
          <w:color w:val="00327D"/>
          <w:sz w:val="19"/>
          <w:rFonts w:ascii="Consolas" w:hAnsi="Consolas" w:cs="Consolas"/>
        </w:rPr>
        <w:t>version: 1</w:t>
      </w:r>
      <w:r>
        <w:rPr>
          <w:rFonts w:ascii="Arial" w:hAnsi="Arial"/>
          <w:b w:val="0"/>
          <w:i w:val="0"/>
          <w:color w:val="191C1E"/>
          <w:sz w:val="20"/>
          <w:rFonts w:ascii="Arial" w:hAnsi="Arial" w:cs="Arial"/>
        </w:rPr>
        <w:t>) phục vụ công tác kiểm toán lịch sử.</w:t>
      </w:r>
    </w:p>
    <w:p>
      <w:pPr>
        <w:spacing w:after="80" w:line="276" w:lineRule="auto"/>
      </w:pPr>
      <w:r>
        <w:rPr>
          <w:rFonts w:ascii="Arial" w:hAnsi="Arial"/>
          <w:b w:val="0"/>
          <w:i w:val="0"/>
          <w:color w:val="191C1E"/>
          <w:sz w:val="20"/>
          <w:rFonts w:ascii="Arial" w:hAnsi="Arial" w:cs="Arial"/>
        </w:rPr>
        <w:t>---</w:t>
      </w:r>
    </w:p>
    <w:p>
      <w:pPr>
        <w:spacing w:before="80" w:after="280"/>
        <w:jc w:val="center"/>
      </w:pPr>
      <w:r>
        <w:rPr>
          <w:rFonts w:ascii="Arial" w:hAnsi="Arial"/>
          <w:b/>
          <w:i w:val="0"/>
          <w:color w:val="0047AB"/>
          <w:sz w:val="24"/>
          <w:rFonts w:ascii="Arial" w:hAnsi="Arial" w:cs="Arial"/>
        </w:rPr>
        <w:t>CHƯƠNG IV: QUY ĐỊNH HẢI QUAN TRUNG QUỐC (GACC PROTOCOL SPECIFICATIONS)</w:t>
      </w:r>
    </w:p>
    <w:p>
      <w:pPr>
        <w:keepNext/>
        <w:spacing w:before="280" w:after="120"/>
      </w:pPr>
      <w:r>
        <w:rPr>
          <w:rFonts w:ascii="Arial" w:hAnsi="Arial"/>
          <w:b/>
          <w:i w:val="0"/>
          <w:color w:val="00236F"/>
          <w:sz w:val="26"/>
          <w:rFonts w:ascii="Arial" w:hAnsi="Arial" w:cs="Arial"/>
        </w:rPr>
        <w:t>4.1. Tiêu chuẩn Mã số Vùng trồng (PUC) và Cơ sở Đóng gói (PHC)</w:t>
      </w:r>
    </w:p>
    <w:p>
      <w:pPr>
        <w:spacing w:after="80" w:line="276" w:lineRule="auto"/>
        <w:ind w:left="360"/>
      </w:pPr>
      <w:r>
        <w:rPr>
          <w:rFonts w:ascii="Arial" w:hAnsi="Arial"/>
          <w:b w:val="0"/>
          <w:i w:val="0"/>
          <w:color w:val="191C1E"/>
          <w:sz w:val="20"/>
          <w:rFonts w:ascii="Arial" w:hAnsi="Arial" w:cs="Arial"/>
        </w:rPr>
        <w:t>• Sầu riêng Tươi (HS 0810.60.00) và Sầu riêng Cấp đông (HS 0811.90.00) phải xuất xứ từ Vùng trồng được Cục Trồng trọt cấp mã PUC và GACC phê duyệt.</w:t>
      </w:r>
    </w:p>
    <w:p>
      <w:pPr>
        <w:spacing w:after="80" w:line="276" w:lineRule="auto"/>
        <w:ind w:left="360"/>
      </w:pPr>
      <w:r>
        <w:rPr>
          <w:rFonts w:ascii="Arial" w:hAnsi="Arial"/>
          <w:b w:val="0"/>
          <w:i w:val="0"/>
          <w:color w:val="191C1E"/>
          <w:sz w:val="20"/>
          <w:rFonts w:ascii="Arial" w:hAnsi="Arial" w:cs="Arial"/>
        </w:rPr>
        <w:t xml:space="preserve">• Vùng trồng phải áp dụng quy trình quản lý 05 loài sinh vật kiểm dịch: </w:t>
      </w:r>
      <w:r>
        <w:rPr>
          <w:rFonts w:ascii="Arial" w:hAnsi="Arial"/>
          <w:b w:val="0"/>
          <w:i/>
          <w:color w:val="191C1E"/>
          <w:sz w:val="20"/>
          <w:rFonts w:ascii="Arial" w:hAnsi="Arial" w:cs="Arial"/>
        </w:rPr>
        <w:t>Bactrocera dorsalis</w:t>
      </w:r>
      <w:r>
        <w:rPr>
          <w:rFonts w:ascii="Arial" w:hAnsi="Arial"/>
          <w:b w:val="0"/>
          <w:i w:val="0"/>
          <w:color w:val="191C1E"/>
          <w:sz w:val="20"/>
          <w:rFonts w:ascii="Arial" w:hAnsi="Arial" w:cs="Arial"/>
        </w:rPr>
        <w:t xml:space="preserve"> (Ruồi đục quả), </w:t>
      </w:r>
      <w:r>
        <w:rPr>
          <w:rFonts w:ascii="Arial" w:hAnsi="Arial"/>
          <w:b w:val="0"/>
          <w:i/>
          <w:color w:val="191C1E"/>
          <w:sz w:val="20"/>
          <w:rFonts w:ascii="Arial" w:hAnsi="Arial" w:cs="Arial"/>
        </w:rPr>
        <w:t>Pseudococcus jackbeardsleyi</w:t>
      </w:r>
      <w:r>
        <w:rPr>
          <w:rFonts w:ascii="Arial" w:hAnsi="Arial"/>
          <w:b w:val="0"/>
          <w:i w:val="0"/>
          <w:color w:val="191C1E"/>
          <w:sz w:val="20"/>
          <w:rFonts w:ascii="Arial" w:hAnsi="Arial" w:cs="Arial"/>
        </w:rPr>
        <w:t xml:space="preserve">, </w:t>
      </w:r>
      <w:r>
        <w:rPr>
          <w:rFonts w:ascii="Arial" w:hAnsi="Arial"/>
          <w:b w:val="0"/>
          <w:i/>
          <w:color w:val="191C1E"/>
          <w:sz w:val="20"/>
          <w:rFonts w:ascii="Arial" w:hAnsi="Arial" w:cs="Arial"/>
        </w:rPr>
        <w:t>Dysmicoccus neobrevipes</w:t>
      </w:r>
      <w:r>
        <w:rPr>
          <w:rFonts w:ascii="Arial" w:hAnsi="Arial"/>
          <w:b w:val="0"/>
          <w:i w:val="0"/>
          <w:color w:val="191C1E"/>
          <w:sz w:val="20"/>
          <w:rFonts w:ascii="Arial" w:hAnsi="Arial" w:cs="Arial"/>
        </w:rPr>
        <w:t xml:space="preserve">, </w:t>
      </w:r>
      <w:r>
        <w:rPr>
          <w:rFonts w:ascii="Arial" w:hAnsi="Arial"/>
          <w:b w:val="0"/>
          <w:i/>
          <w:color w:val="191C1E"/>
          <w:sz w:val="20"/>
          <w:rFonts w:ascii="Arial" w:hAnsi="Arial" w:cs="Arial"/>
        </w:rPr>
        <w:t>Planococcus lilacinus</w:t>
      </w:r>
      <w:r>
        <w:rPr>
          <w:rFonts w:ascii="Arial" w:hAnsi="Arial"/>
          <w:b w:val="0"/>
          <w:i w:val="0"/>
          <w:color w:val="191C1E"/>
          <w:sz w:val="20"/>
          <w:rFonts w:ascii="Arial" w:hAnsi="Arial" w:cs="Arial"/>
        </w:rPr>
        <w:t xml:space="preserve">, </w:t>
      </w:r>
      <w:r>
        <w:rPr>
          <w:rFonts w:ascii="Arial" w:hAnsi="Arial"/>
          <w:b w:val="0"/>
          <w:i/>
          <w:color w:val="191C1E"/>
          <w:sz w:val="20"/>
          <w:rFonts w:ascii="Arial" w:hAnsi="Arial" w:cs="Arial"/>
        </w:rPr>
        <w:t>Planococcus minor</w:t>
      </w:r>
      <w:r>
        <w:rPr>
          <w:rFonts w:ascii="Arial" w:hAnsi="Arial"/>
          <w:b w:val="0"/>
          <w:i w:val="0"/>
          <w:color w:val="191C1E"/>
          <w:sz w:val="20"/>
          <w:rFonts w:ascii="Arial" w:hAnsi="Arial" w:cs="Arial"/>
        </w:rPr>
        <w:t xml:space="preserve"> (Rệp sáp).</w:t>
      </w:r>
    </w:p>
    <w:p>
      <w:pPr>
        <w:spacing w:after="80" w:line="276" w:lineRule="auto"/>
        <w:ind w:left="360"/>
      </w:pPr>
      <w:r>
        <w:rPr>
          <w:rFonts w:ascii="Arial" w:hAnsi="Arial"/>
          <w:b w:val="0"/>
          <w:i w:val="0"/>
          <w:color w:val="191C1E"/>
          <w:sz w:val="20"/>
          <w:rFonts w:ascii="Arial" w:hAnsi="Arial" w:cs="Arial"/>
        </w:rPr>
        <w:t>• Nhà đóng gói phải có mã số PHC hợp lệ, trang bị hệ thống vòi xịt khí nén/nước áp lực cao rửa sạch rệp sáp và cuống quả.</w:t>
      </w:r>
    </w:p>
    <w:p>
      <w:pPr>
        <w:keepNext/>
        <w:spacing w:before="280" w:after="120"/>
      </w:pPr>
      <w:r>
        <w:rPr>
          <w:rFonts w:ascii="Arial" w:hAnsi="Arial"/>
          <w:b/>
          <w:i w:val="0"/>
          <w:color w:val="00236F"/>
          <w:sz w:val="26"/>
          <w:rFonts w:ascii="Arial" w:hAnsi="Arial" w:cs="Arial"/>
        </w:rPr>
        <w:t>4.2. Ma trận Ngưỡng MRL và Kim loại Nặng (GB 2762 &amp; GB 2763)</w:t>
      </w:r>
    </w:p>
    <w:tbl>
      <w:tblPr>
        <w:tblW w:type="auto" w:w="0"/>
        <w:jc w:val="center"/>
        <w:tblLook w:firstColumn="1" w:firstRow="1" w:lastColumn="0" w:lastRow="0" w:noHBand="0" w:noVBand="1" w:val="04A0"/>
        <w:tblBorders>
          <w:top w:val="single" w:sz="4" w:space="0" w:color="C3C6D5"/>
          <w:left w:val="single" w:sz="4" w:space="0" w:color="C3C6D5"/>
          <w:bottom w:val="single" w:sz="4" w:space="0" w:color="C3C6D5"/>
          <w:right w:val="single" w:sz="4" w:space="0" w:color="C3C6D5"/>
          <w:insideH w:val="single" w:sz="4" w:space="0" w:color="C3C6D5"/>
          <w:insideV w:val="none"/>
        </w:tblBorders>
      </w:tblPr>
      <w:tblGrid>
        <w:gridCol w:w="2484"/>
        <w:gridCol w:w="2484"/>
        <w:gridCol w:w="2484"/>
        <w:gridCol w:w="2484"/>
      </w:tblGrid>
      <w:tr>
        <w:trPr>
          <w:cantSplit/>
        </w:trPr>
        <w:tc>
          <w:tcPr>
            <w:tcW w:type="dxa" w:w="2592"/>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Hoạt chất / Chỉ tiêu</w:t>
            </w:r>
          </w:p>
        </w:tc>
        <w:tc>
          <w:tcPr>
            <w:tcW w:type="dxa" w:w="2160"/>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Ngưỡng Tối đa Cho phép</w:t>
            </w:r>
          </w:p>
        </w:tc>
        <w:tc>
          <w:tcPr>
            <w:tcW w:type="dxa" w:w="2592"/>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Tiêu chuẩn Căn cứ</w:t>
            </w:r>
          </w:p>
        </w:tc>
        <w:tc>
          <w:tcPr>
            <w:tcW w:type="dxa" w:w="2448"/>
            <w:tcMar>
              <w:top w:w="100" w:type="dxa"/>
              <w:bottom w:w="100" w:type="dxa"/>
              <w:left w:w="120" w:type="dxa"/>
              <w:right w:w="120" w:type="dxa"/>
            </w:tcMar>
            <w:shd w:fill="00236F"/>
          </w:tcPr>
          <w:p>
            <w:pPr>
              <w:spacing w:after="0" w:line="276" w:lineRule="auto"/>
            </w:pPr>
            <w:r>
              <w:rPr>
                <w:rFonts w:ascii="Arial" w:hAnsi="Arial"/>
                <w:b/>
                <w:i w:val="0"/>
                <w:color w:val="FFFFFF"/>
                <w:sz w:val="19"/>
                <w:rFonts w:ascii="Arial" w:hAnsi="Arial" w:cs="Arial"/>
              </w:rPr>
              <w:t>Mức độ Rủi ro</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Cadmium (Cd)</w:t>
            </w:r>
          </w:p>
        </w:tc>
        <w:tc>
          <w:tcPr>
            <w:tcW w:type="dxa" w:w="2160"/>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 0.05 mg/kg</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GB 2762-2022</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Rất nghiêm trọng (Critical)</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Dithiocarbamates</w:t>
            </w:r>
          </w:p>
        </w:tc>
        <w:tc>
          <w:tcPr>
            <w:tcW w:type="dxa" w:w="2160"/>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 2.00 mg/kg</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GB 2763-2021</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Nghiêm trọng (High)</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Chlorpyrifos</w:t>
            </w:r>
          </w:p>
        </w:tc>
        <w:tc>
          <w:tcPr>
            <w:tcW w:type="dxa" w:w="2160"/>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 0.01 mg/kg (Cấm dùng)</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GB 2763-2021</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Rất nghiêm trọng (Critical)</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Permethrin</w:t>
            </w:r>
          </w:p>
        </w:tc>
        <w:tc>
          <w:tcPr>
            <w:tcW w:type="dxa" w:w="2160"/>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 0.05 mg/kg</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GB 2763-2021</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Trung bình (Medium)</w:t>
            </w:r>
          </w:p>
        </w:tc>
      </w:tr>
      <w:tr>
        <w:trPr>
          <w:cantSplit/>
        </w:trPr>
        <w:tc>
          <w:tcPr>
            <w:tcW w:type="dxa" w:w="2592"/>
            <w:tcMar>
              <w:top w:w="100" w:type="dxa"/>
              <w:bottom w:w="100" w:type="dxa"/>
              <w:left w:w="120" w:type="dxa"/>
              <w:right w:w="120" w:type="dxa"/>
            </w:tcMar>
            <w:shd w:fill="F7F9FB"/>
          </w:tcPr>
          <w:p>
            <w:pPr>
              <w:spacing w:after="0" w:line="276" w:lineRule="auto"/>
            </w:pPr>
            <w:r>
              <w:rPr>
                <w:rFonts w:ascii="Arial" w:hAnsi="Arial"/>
                <w:b w:val="0"/>
                <w:i w:val="0"/>
                <w:color w:val="191C1E"/>
                <w:sz w:val="18"/>
                <w:rFonts w:ascii="Arial" w:hAnsi="Arial" w:cs="Arial"/>
              </w:rPr>
              <w:t>Carbendazim</w:t>
            </w:r>
          </w:p>
        </w:tc>
        <w:tc>
          <w:tcPr>
            <w:tcW w:type="dxa" w:w="2160"/>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 0.50 mg/kg</w:t>
            </w:r>
          </w:p>
        </w:tc>
        <w:tc>
          <w:tcPr>
            <w:tcW w:type="dxa" w:w="2592"/>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GB 2763-2021</w:t>
            </w:r>
          </w:p>
        </w:tc>
        <w:tc>
          <w:tcPr>
            <w:tcW w:type="dxa" w:w="2448"/>
            <w:tcMar>
              <w:top w:w="100" w:type="dxa"/>
              <w:bottom w:w="100" w:type="dxa"/>
              <w:left w:w="120" w:type="dxa"/>
              <w:right w:w="120" w:type="dxa"/>
            </w:tcMar>
            <w:shd w:fill="FFFFFF"/>
          </w:tcPr>
          <w:p>
            <w:pPr>
              <w:spacing w:after="0" w:line="276" w:lineRule="auto"/>
            </w:pPr>
            <w:r>
              <w:rPr>
                <w:rFonts w:ascii="Arial" w:hAnsi="Arial"/>
                <w:b w:val="0"/>
                <w:i w:val="0"/>
                <w:color w:val="191C1E"/>
                <w:sz w:val="18"/>
                <w:rFonts w:ascii="Arial" w:hAnsi="Arial" w:cs="Arial"/>
              </w:rPr>
              <w:t>Trung bình (Medium)</w:t>
            </w:r>
          </w:p>
        </w:tc>
      </w:tr>
    </w:tbl>
    <w:p>
      <w:pPr>
        <w:spacing w:after="80"/>
      </w:pPr>
    </w:p>
    <w:p>
      <w:pPr>
        <w:keepNext/>
        <w:spacing w:before="280" w:after="120"/>
      </w:pPr>
      <w:r>
        <w:rPr>
          <w:rFonts w:ascii="Arial" w:hAnsi="Arial"/>
          <w:b/>
          <w:i w:val="0"/>
          <w:color w:val="00236F"/>
          <w:sz w:val="26"/>
          <w:rFonts w:ascii="Arial" w:hAnsi="Arial" w:cs="Arial"/>
        </w:rPr>
        <w:t>4.3. Quy định Tem Nhãn phụ GACC (Lệnh 248 &amp; 249)</w:t>
      </w:r>
    </w:p>
    <w:p>
      <w:pPr>
        <w:spacing w:after="80" w:line="276" w:lineRule="auto"/>
      </w:pPr>
      <w:r>
        <w:rPr>
          <w:rFonts w:ascii="Arial" w:hAnsi="Arial"/>
          <w:b w:val="0"/>
          <w:i w:val="0"/>
          <w:color w:val="191C1E"/>
          <w:sz w:val="20"/>
          <w:rFonts w:ascii="Arial" w:hAnsi="Arial" w:cs="Arial"/>
        </w:rPr>
        <w:t>100% thùng hàng sầu riêng xuất khẩu sang Trung Quốc phải in dán tem nhãn phụ bằng Tiếng Trung hoặc Tiếng Anh chứa các thông tin:</w:t>
      </w:r>
    </w:p>
    <w:p>
      <w:pPr>
        <w:spacing w:after="80" w:line="276" w:lineRule="auto"/>
        <w:ind w:left="360"/>
      </w:pPr>
      <w:r>
        <w:rPr>
          <w:rFonts w:ascii="Arial" w:hAnsi="Arial"/>
          <w:b w:val="0"/>
          <w:i w:val="0"/>
          <w:color w:val="191C1E"/>
          <w:sz w:val="20"/>
          <w:rFonts w:ascii="Arial" w:hAnsi="Arial" w:cs="Arial"/>
        </w:rPr>
        <w:t>• Tên nông sản: Sầu riêng tươi (Fresh Durian / 鲜榴莲)</w:t>
      </w:r>
    </w:p>
    <w:p>
      <w:pPr>
        <w:spacing w:after="80" w:line="276" w:lineRule="auto"/>
        <w:ind w:left="360"/>
      </w:pPr>
      <w:r>
        <w:rPr>
          <w:rFonts w:ascii="Arial" w:hAnsi="Arial"/>
          <w:b w:val="0"/>
          <w:i w:val="0"/>
          <w:color w:val="191C1E"/>
          <w:sz w:val="20"/>
          <w:rFonts w:ascii="Arial" w:hAnsi="Arial" w:cs="Arial"/>
        </w:rPr>
        <w:t>• Mã số Vùng trồng (PUC) và Mã số Cơ sở Đóng gói (PHC).</w:t>
      </w:r>
    </w:p>
    <w:p>
      <w:pPr>
        <w:spacing w:after="80" w:line="276" w:lineRule="auto"/>
        <w:ind w:left="360"/>
      </w:pPr>
      <w:r>
        <w:rPr>
          <w:rFonts w:ascii="Arial" w:hAnsi="Arial"/>
          <w:b w:val="0"/>
          <w:i w:val="0"/>
          <w:color w:val="191C1E"/>
          <w:sz w:val="20"/>
          <w:rFonts w:ascii="Arial" w:hAnsi="Arial" w:cs="Arial"/>
        </w:rPr>
        <w:t xml:space="preserve">• Dòng chữ bắt buộc bằng tiếng Trung: </w:t>
      </w:r>
      <w:r>
        <w:rPr>
          <w:rFonts w:ascii="Arial" w:hAnsi="Arial"/>
          <w:b/>
          <w:i w:val="0"/>
          <w:color w:val="191C1E"/>
          <w:sz w:val="20"/>
          <w:rFonts w:ascii="Arial" w:hAnsi="Arial" w:cs="Arial"/>
        </w:rPr>
        <w:t>“输往中华人民共和国”</w:t>
      </w:r>
      <w:r>
        <w:rPr>
          <w:rFonts w:ascii="Arial" w:hAnsi="Arial"/>
          <w:b w:val="0"/>
          <w:i w:val="0"/>
          <w:color w:val="191C1E"/>
          <w:sz w:val="20"/>
          <w:rFonts w:ascii="Arial" w:hAnsi="Arial" w:cs="Arial"/>
        </w:rPr>
        <w:t xml:space="preserve"> (Xuất khẩu sang Nước Cộng hòa Nhân dân Trung Hoa).</w:t>
      </w:r>
    </w:p>
    <w:p>
      <w:pPr>
        <w:spacing w:after="80" w:line="276" w:lineRule="auto"/>
      </w:pPr>
      <w:r>
        <w:rPr>
          <w:rFonts w:ascii="Arial" w:hAnsi="Arial"/>
          <w:b w:val="0"/>
          <w:i w:val="0"/>
          <w:color w:val="191C1E"/>
          <w:sz w:val="20"/>
          <w:rFonts w:ascii="Arial" w:hAnsi="Arial" w:cs="Arial"/>
        </w:rPr>
        <w:t>---</w:t>
      </w:r>
    </w:p>
    <w:p>
      <w:pPr>
        <w:spacing w:before="80" w:after="280"/>
        <w:jc w:val="center"/>
      </w:pPr>
      <w:r>
        <w:rPr>
          <w:rFonts w:ascii="Arial" w:hAnsi="Arial"/>
          <w:b/>
          <w:i w:val="0"/>
          <w:color w:val="0047AB"/>
          <w:sz w:val="24"/>
          <w:rFonts w:ascii="Arial" w:hAnsi="Arial" w:cs="Arial"/>
        </w:rPr>
        <w:t>CHƯƠNG V: MÔ HÌNH DỮ LIỆU VÀ QUY CHUẨN GIAO TIẾP API</w:t>
      </w:r>
    </w:p>
    <w:p>
      <w:pPr>
        <w:keepNext/>
        <w:spacing w:before="280" w:after="120"/>
      </w:pPr>
      <w:r>
        <w:rPr>
          <w:rFonts w:ascii="Arial" w:hAnsi="Arial"/>
          <w:b/>
          <w:i w:val="0"/>
          <w:color w:val="00236F"/>
          <w:sz w:val="26"/>
          <w:rFonts w:ascii="Arial" w:hAnsi="Arial" w:cs="Arial"/>
        </w:rPr>
        <w:t>5.1. Từ điển Dữ liệu CSDL (Prisma Schema Data Dictionary)</w:t>
      </w:r>
    </w:p>
    <w:p>
      <w:pPr>
        <w:spacing w:after="80" w:line="276" w:lineRule="auto"/>
        <w:ind w:left="360"/>
      </w:pPr>
      <w:r>
        <w:rPr>
          <w:rFonts w:ascii="Arial" w:hAnsi="Arial"/>
          <w:b w:val="0"/>
          <w:i w:val="0"/>
          <w:color w:val="191C1E"/>
          <w:sz w:val="20"/>
          <w:rFonts w:ascii="Arial" w:hAnsi="Arial" w:cs="Arial"/>
        </w:rPr>
        <w:t xml:space="preserve">1. </w:t>
      </w:r>
      <w:r>
        <w:rPr>
          <w:rFonts w:ascii="Arial" w:hAnsi="Arial"/>
          <w:b/>
          <w:i w:val="0"/>
          <w:color w:val="191C1E"/>
          <w:sz w:val="20"/>
          <w:rFonts w:ascii="Arial" w:hAnsi="Arial" w:cs="Arial"/>
        </w:rPr>
        <w:t>`organizations`</w:t>
      </w:r>
      <w:r>
        <w:rPr>
          <w:rFonts w:ascii="Arial" w:hAnsi="Arial"/>
          <w:b w:val="0"/>
          <w:i w:val="0"/>
          <w:color w:val="191C1E"/>
          <w:sz w:val="20"/>
          <w:rFonts w:ascii="Arial" w:hAnsi="Arial" w:cs="Arial"/>
        </w:rPr>
        <w:t>: Quản lý thông tin Doanh nghiệp xuất khẩu (Tên, Mã số thuế, Nông sản chủ lực, Thị trường).</w:t>
      </w:r>
    </w:p>
    <w:p>
      <w:pPr>
        <w:spacing w:after="80" w:line="276" w:lineRule="auto"/>
        <w:ind w:left="360"/>
      </w:pPr>
      <w:r>
        <w:rPr>
          <w:rFonts w:ascii="Arial" w:hAnsi="Arial"/>
          <w:b w:val="0"/>
          <w:i w:val="0"/>
          <w:color w:val="191C1E"/>
          <w:sz w:val="20"/>
          <w:rFonts w:ascii="Arial" w:hAnsi="Arial" w:cs="Arial"/>
        </w:rPr>
        <w:t xml:space="preserve">2. </w:t>
      </w:r>
      <w:r>
        <w:rPr>
          <w:rFonts w:ascii="Arial" w:hAnsi="Arial"/>
          <w:b/>
          <w:i w:val="0"/>
          <w:color w:val="191C1E"/>
          <w:sz w:val="20"/>
          <w:rFonts w:ascii="Arial" w:hAnsi="Arial" w:cs="Arial"/>
        </w:rPr>
        <w:t>`products`</w:t>
      </w:r>
      <w:r>
        <w:rPr>
          <w:rFonts w:ascii="Arial" w:hAnsi="Arial"/>
          <w:b w:val="0"/>
          <w:i w:val="0"/>
          <w:color w:val="191C1E"/>
          <w:sz w:val="20"/>
          <w:rFonts w:ascii="Arial" w:hAnsi="Arial" w:cs="Arial"/>
        </w:rPr>
        <w:t xml:space="preserve">: Quản lý dòng sản phẩm nông sản (Tên sản phẩm, Mã HS </w:t>
      </w:r>
      <w:r>
        <w:rPr>
          <w:rFonts w:ascii="Consolas" w:hAnsi="Consolas"/>
          <w:b w:val="0"/>
          <w:i w:val="0"/>
          <w:color w:val="00327D"/>
          <w:sz w:val="19"/>
          <w:rFonts w:ascii="Consolas" w:hAnsi="Consolas" w:cs="Consolas"/>
        </w:rPr>
        <w:t>0810.60.00</w:t>
      </w:r>
      <w:r>
        <w:rPr>
          <w:rFonts w:ascii="Arial" w:hAnsi="Arial"/>
          <w:b w:val="0"/>
          <w:i w:val="0"/>
          <w:color w:val="191C1E"/>
          <w:sz w:val="20"/>
          <w:rFonts w:ascii="Arial" w:hAnsi="Arial" w:cs="Arial"/>
        </w:rPr>
        <w:t>, Xuất xứ).</w:t>
      </w:r>
    </w:p>
    <w:p>
      <w:pPr>
        <w:spacing w:after="80" w:line="276" w:lineRule="auto"/>
        <w:ind w:left="360"/>
      </w:pPr>
      <w:r>
        <w:rPr>
          <w:rFonts w:ascii="Arial" w:hAnsi="Arial"/>
          <w:b w:val="0"/>
          <w:i w:val="0"/>
          <w:color w:val="191C1E"/>
          <w:sz w:val="20"/>
          <w:rFonts w:ascii="Arial" w:hAnsi="Arial" w:cs="Arial"/>
        </w:rPr>
        <w:t xml:space="preserve">3. </w:t>
      </w:r>
      <w:r>
        <w:rPr>
          <w:rFonts w:ascii="Arial" w:hAnsi="Arial"/>
          <w:b/>
          <w:i w:val="0"/>
          <w:color w:val="191C1E"/>
          <w:sz w:val="20"/>
          <w:rFonts w:ascii="Arial" w:hAnsi="Arial" w:cs="Arial"/>
        </w:rPr>
        <w:t>`batches`</w:t>
      </w:r>
      <w:r>
        <w:rPr>
          <w:rFonts w:ascii="Arial" w:hAnsi="Arial"/>
          <w:b w:val="0"/>
          <w:i w:val="0"/>
          <w:color w:val="191C1E"/>
          <w:sz w:val="20"/>
          <w:rFonts w:ascii="Arial" w:hAnsi="Arial" w:cs="Arial"/>
        </w:rPr>
        <w:t>: Quản lý Lô hàng xuất khẩu cụ thể (Mã lô, Số lượng, Đơn vị, Ngày đóng gói, Trạng thái tuân thủ).</w:t>
      </w:r>
    </w:p>
    <w:p>
      <w:pPr>
        <w:spacing w:after="80" w:line="276" w:lineRule="auto"/>
        <w:ind w:left="360"/>
      </w:pPr>
      <w:r>
        <w:rPr>
          <w:rFonts w:ascii="Arial" w:hAnsi="Arial"/>
          <w:b w:val="0"/>
          <w:i w:val="0"/>
          <w:color w:val="191C1E"/>
          <w:sz w:val="20"/>
          <w:rFonts w:ascii="Arial" w:hAnsi="Arial" w:cs="Arial"/>
        </w:rPr>
        <w:t xml:space="preserve">4. </w:t>
      </w:r>
      <w:r>
        <w:rPr>
          <w:rFonts w:ascii="Arial" w:hAnsi="Arial"/>
          <w:b/>
          <w:i w:val="0"/>
          <w:color w:val="191C1E"/>
          <w:sz w:val="20"/>
          <w:rFonts w:ascii="Arial" w:hAnsi="Arial" w:cs="Arial"/>
        </w:rPr>
        <w:t>`documents`</w:t>
      </w:r>
      <w:r>
        <w:rPr>
          <w:rFonts w:ascii="Arial" w:hAnsi="Arial"/>
          <w:b w:val="0"/>
          <w:i w:val="0"/>
          <w:color w:val="191C1E"/>
          <w:sz w:val="20"/>
          <w:rFonts w:ascii="Arial" w:hAnsi="Arial" w:cs="Arial"/>
        </w:rPr>
        <w:t xml:space="preserve">: Quản lý tài liệu chứng từ (Loại chứng từ </w:t>
      </w:r>
      <w:r>
        <w:rPr>
          <w:rFonts w:ascii="Consolas" w:hAnsi="Consolas"/>
          <w:b w:val="0"/>
          <w:i w:val="0"/>
          <w:color w:val="00327D"/>
          <w:sz w:val="19"/>
          <w:rFonts w:ascii="Consolas" w:hAnsi="Consolas" w:cs="Consolas"/>
        </w:rPr>
        <w:t>PHYTO</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LAB_REPORT</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CO</w:t>
      </w:r>
      <w:r>
        <w:rPr>
          <w:rFonts w:ascii="Arial" w:hAnsi="Arial"/>
          <w:b w:val="0"/>
          <w:i w:val="0"/>
          <w:color w:val="191C1E"/>
          <w:sz w:val="20"/>
          <w:rFonts w:ascii="Arial" w:hAnsi="Arial" w:cs="Arial"/>
        </w:rPr>
        <w:t xml:space="preserve">, </w:t>
      </w:r>
      <w:r>
        <w:rPr>
          <w:rFonts w:ascii="Consolas" w:hAnsi="Consolas"/>
          <w:b w:val="0"/>
          <w:i w:val="0"/>
          <w:color w:val="00327D"/>
          <w:sz w:val="19"/>
          <w:rFonts w:ascii="Consolas" w:hAnsi="Consolas" w:cs="Consolas"/>
        </w:rPr>
        <w:t>GPS_MAP</w:t>
      </w:r>
      <w:r>
        <w:rPr>
          <w:rFonts w:ascii="Arial" w:hAnsi="Arial"/>
          <w:b w:val="0"/>
          <w:i w:val="0"/>
          <w:color w:val="191C1E"/>
          <w:sz w:val="20"/>
          <w:rFonts w:ascii="Arial" w:hAnsi="Arial" w:cs="Arial"/>
        </w:rPr>
        <w:t>, URL lưu trữ Supabase Storage).</w:t>
      </w:r>
    </w:p>
    <w:p>
      <w:pPr>
        <w:spacing w:after="80" w:line="276" w:lineRule="auto"/>
        <w:ind w:left="360"/>
      </w:pPr>
      <w:r>
        <w:rPr>
          <w:rFonts w:ascii="Arial" w:hAnsi="Arial"/>
          <w:b w:val="0"/>
          <w:i w:val="0"/>
          <w:color w:val="191C1E"/>
          <w:sz w:val="20"/>
          <w:rFonts w:ascii="Arial" w:hAnsi="Arial" w:cs="Arial"/>
        </w:rPr>
        <w:t xml:space="preserve">5. </w:t>
      </w:r>
      <w:r>
        <w:rPr>
          <w:rFonts w:ascii="Arial" w:hAnsi="Arial"/>
          <w:b/>
          <w:i w:val="0"/>
          <w:color w:val="191C1E"/>
          <w:sz w:val="20"/>
          <w:rFonts w:ascii="Arial" w:hAnsi="Arial" w:cs="Arial"/>
        </w:rPr>
        <w:t>`regulations` &amp; `mrl_limits`</w:t>
      </w:r>
      <w:r>
        <w:rPr>
          <w:rFonts w:ascii="Arial" w:hAnsi="Arial"/>
          <w:b w:val="0"/>
          <w:i w:val="0"/>
          <w:color w:val="191C1E"/>
          <w:sz w:val="20"/>
          <w:rFonts w:ascii="Arial" w:hAnsi="Arial" w:cs="Arial"/>
        </w:rPr>
        <w:t>: Thư viện quy định pháp lý và ngưỡng MRL luật định.</w:t>
      </w:r>
    </w:p>
    <w:p>
      <w:pPr>
        <w:spacing w:after="80" w:line="276" w:lineRule="auto"/>
        <w:ind w:left="360"/>
      </w:pPr>
      <w:r>
        <w:rPr>
          <w:rFonts w:ascii="Arial" w:hAnsi="Arial"/>
          <w:b w:val="0"/>
          <w:i w:val="0"/>
          <w:color w:val="191C1E"/>
          <w:sz w:val="20"/>
          <w:rFonts w:ascii="Arial" w:hAnsi="Arial" w:cs="Arial"/>
        </w:rPr>
        <w:t xml:space="preserve">6. </w:t>
      </w:r>
      <w:r>
        <w:rPr>
          <w:rFonts w:ascii="Arial" w:hAnsi="Arial"/>
          <w:b/>
          <w:i w:val="0"/>
          <w:color w:val="191C1E"/>
          <w:sz w:val="20"/>
          <w:rFonts w:ascii="Arial" w:hAnsi="Arial" w:cs="Arial"/>
        </w:rPr>
        <w:t>`compliance_checks` &amp; `compliance_items`</w:t>
      </w:r>
      <w:r>
        <w:rPr>
          <w:rFonts w:ascii="Arial" w:hAnsi="Arial"/>
          <w:b w:val="0"/>
          <w:i w:val="0"/>
          <w:color w:val="191C1E"/>
          <w:sz w:val="20"/>
          <w:rFonts w:ascii="Arial" w:hAnsi="Arial" w:cs="Arial"/>
        </w:rPr>
        <w:t xml:space="preserve">: Nhật ký phiên kiểm tra tuân thủ và danh sách các vi phạm/cảnh báo kèm </w:t>
      </w:r>
      <w:r>
        <w:rPr>
          <w:rFonts w:ascii="Consolas" w:hAnsi="Consolas"/>
          <w:b w:val="0"/>
          <w:i w:val="0"/>
          <w:color w:val="00327D"/>
          <w:sz w:val="19"/>
          <w:rFonts w:ascii="Consolas" w:hAnsi="Consolas" w:cs="Consolas"/>
        </w:rPr>
        <w:t>citationIds</w:t>
      </w:r>
      <w:r>
        <w:rPr>
          <w:rFonts w:ascii="Arial" w:hAnsi="Arial"/>
          <w:b w:val="0"/>
          <w:i w:val="0"/>
          <w:color w:val="191C1E"/>
          <w:sz w:val="20"/>
          <w:rFonts w:ascii="Arial" w:hAnsi="Arial" w:cs="Arial"/>
        </w:rPr>
        <w:t>.</w:t>
      </w:r>
    </w:p>
    <w:p>
      <w:pPr>
        <w:spacing w:after="80" w:line="276" w:lineRule="auto"/>
        <w:ind w:left="360"/>
      </w:pPr>
      <w:r>
        <w:rPr>
          <w:rFonts w:ascii="Arial" w:hAnsi="Arial"/>
          <w:b w:val="0"/>
          <w:i w:val="0"/>
          <w:color w:val="191C1E"/>
          <w:sz w:val="20"/>
          <w:rFonts w:ascii="Arial" w:hAnsi="Arial" w:cs="Arial"/>
        </w:rPr>
        <w:t xml:space="preserve">7. </w:t>
      </w:r>
      <w:r>
        <w:rPr>
          <w:rFonts w:ascii="Arial" w:hAnsi="Arial"/>
          <w:b/>
          <w:i w:val="0"/>
          <w:color w:val="191C1E"/>
          <w:sz w:val="20"/>
          <w:rFonts w:ascii="Arial" w:hAnsi="Arial" w:cs="Arial"/>
        </w:rPr>
        <w:t>`reports`</w:t>
      </w:r>
      <w:r>
        <w:rPr>
          <w:rFonts w:ascii="Arial" w:hAnsi="Arial"/>
          <w:b w:val="0"/>
          <w:i w:val="0"/>
          <w:color w:val="191C1E"/>
          <w:sz w:val="20"/>
          <w:rFonts w:ascii="Arial" w:hAnsi="Arial" w:cs="Arial"/>
        </w:rPr>
        <w:t>: Báo cáo tuân thủ chính thức kèm phiên bản (</w:t>
      </w:r>
      <w:r>
        <w:rPr>
          <w:rFonts w:ascii="Consolas" w:hAnsi="Consolas"/>
          <w:b w:val="0"/>
          <w:i w:val="0"/>
          <w:color w:val="00327D"/>
          <w:sz w:val="19"/>
          <w:rFonts w:ascii="Consolas" w:hAnsi="Consolas" w:cs="Consolas"/>
        </w:rPr>
        <w:t>version</w:t>
      </w:r>
      <w:r>
        <w:rPr>
          <w:rFonts w:ascii="Arial" w:hAnsi="Arial"/>
          <w:b w:val="0"/>
          <w:i w:val="0"/>
          <w:color w:val="191C1E"/>
          <w:sz w:val="20"/>
          <w:rFonts w:ascii="Arial" w:hAnsi="Arial" w:cs="Arial"/>
        </w:rPr>
        <w:t>), trạng thái (</w:t>
      </w:r>
      <w:r>
        <w:rPr>
          <w:rFonts w:ascii="Consolas" w:hAnsi="Consolas"/>
          <w:b w:val="0"/>
          <w:i w:val="0"/>
          <w:color w:val="00327D"/>
          <w:sz w:val="19"/>
          <w:rFonts w:ascii="Consolas" w:hAnsi="Consolas" w:cs="Consolas"/>
        </w:rPr>
        <w:t>status</w:t>
      </w:r>
      <w:r>
        <w:rPr>
          <w:rFonts w:ascii="Arial" w:hAnsi="Arial"/>
          <w:b w:val="0"/>
          <w:i w:val="0"/>
          <w:color w:val="191C1E"/>
          <w:sz w:val="20"/>
          <w:rFonts w:ascii="Arial" w:hAnsi="Arial" w:cs="Arial"/>
        </w:rPr>
        <w:t>) và mã Hash kiểm toán.</w:t>
      </w:r>
    </w:p>
    <w:p>
      <w:pPr>
        <w:spacing w:after="80" w:line="276" w:lineRule="auto"/>
        <w:ind w:left="360"/>
      </w:pPr>
      <w:r>
        <w:rPr>
          <w:rFonts w:ascii="Arial" w:hAnsi="Arial"/>
          <w:b w:val="0"/>
          <w:i w:val="0"/>
          <w:color w:val="191C1E"/>
          <w:sz w:val="20"/>
          <w:rFonts w:ascii="Arial" w:hAnsi="Arial" w:cs="Arial"/>
        </w:rPr>
        <w:t xml:space="preserve">8. </w:t>
      </w:r>
      <w:r>
        <w:rPr>
          <w:rFonts w:ascii="Arial" w:hAnsi="Arial"/>
          <w:b/>
          <w:i w:val="0"/>
          <w:color w:val="191C1E"/>
          <w:sz w:val="20"/>
          <w:rFonts w:ascii="Arial" w:hAnsi="Arial" w:cs="Arial"/>
        </w:rPr>
        <w:t>`audit_logs`</w:t>
      </w:r>
      <w:r>
        <w:rPr>
          <w:rFonts w:ascii="Arial" w:hAnsi="Arial"/>
          <w:b w:val="0"/>
          <w:i w:val="0"/>
          <w:color w:val="191C1E"/>
          <w:sz w:val="20"/>
          <w:rFonts w:ascii="Arial" w:hAnsi="Arial" w:cs="Arial"/>
        </w:rPr>
        <w:t>: Nhật ký kiểm toán hệ thống bất biến (Append-only).</w:t>
      </w:r>
    </w:p>
    <w:p>
      <w:pPr>
        <w:keepNext/>
        <w:spacing w:before="280" w:after="120"/>
      </w:pPr>
      <w:r>
        <w:rPr>
          <w:rFonts w:ascii="Arial" w:hAnsi="Arial"/>
          <w:b/>
          <w:i w:val="0"/>
          <w:color w:val="00236F"/>
          <w:sz w:val="26"/>
          <w:rFonts w:ascii="Arial" w:hAnsi="Arial" w:cs="Arial"/>
        </w:rPr>
        <w:t>5.2. Chuẩn Gói Phản hồi API (Response Envelope)</w:t>
      </w:r>
    </w:p>
    <w:p>
      <w:pPr>
        <w:spacing w:after="80" w:line="276" w:lineRule="auto"/>
      </w:pPr>
      <w:r>
        <w:rPr>
          <w:rFonts w:ascii="Arial" w:hAnsi="Arial"/>
          <w:b w:val="0"/>
          <w:i w:val="0"/>
          <w:color w:val="191C1E"/>
          <w:sz w:val="20"/>
          <w:rFonts w:ascii="Arial" w:hAnsi="Arial" w:cs="Arial"/>
        </w:rPr>
        <w:t>Tất cả các API Endpoints tuân thủ định dạng phản hồi chuẩn:</w:t>
      </w:r>
    </w:p>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Phản hồi Thành công (200 / 201)</w:t>
      </w:r>
      <w:r>
        <w:rPr>
          <w:rFonts w:ascii="Arial" w:hAnsi="Arial"/>
          <w:b w:val="0"/>
          <w:i w:val="0"/>
          <w:color w:val="191C1E"/>
          <w:sz w:val="20"/>
          <w:rFonts w:ascii="Arial" w:hAnsi="Arial" w:cs="Arial"/>
        </w:rPr>
        <w:t>:</w:t>
      </w:r>
    </w:p>
    <w:p>
      <w:pPr>
        <w:spacing w:before="120" w:after="120" w:line="264" w:lineRule="auto"/>
      </w:pPr>
    </w:p>
    <w:tbl>
      <w:tblPr>
        <w:tblW w:type="auto" w:w="0"/>
        <w:jc w:val="center"/>
        <w:tblLook w:firstColumn="1" w:firstRow="1" w:lastColumn="0" w:lastRow="0" w:noHBand="0" w:noVBand="1" w:val="04A0"/>
      </w:tblPr>
      <w:tblGrid>
        <w:gridCol w:w="9936"/>
      </w:tblGrid>
      <w:tr>
        <w:tc>
          <w:tcPr>
            <w:tcW w:type="dxa" w:w="9792"/>
            <w:shd w:fill="F7F9FB"/>
            <w:tcMar>
              <w:top w:w="140" w:type="dxa"/>
              <w:bottom w:w="140" w:type="dxa"/>
              <w:left w:w="180" w:type="dxa"/>
              <w:right w:w="180" w:type="dxa"/>
            </w:tcMar>
          </w:tcPr>
          <w:p>
            <w:pPr>
              <w:spacing w:after="0" w:line="276" w:lineRule="auto"/>
            </w:pPr>
            <w:r>
              <w:rPr>
                <w:rFonts w:ascii="Consolas" w:hAnsi="Consolas"/>
                <w:b w:val="0"/>
                <w:i w:val="0"/>
                <w:color w:val="00327D"/>
                <w:sz w:val="18"/>
                <w:rFonts w:ascii="Consolas" w:hAnsi="Consolas" w:cs="Consolas"/>
              </w:rPr>
              <w:t>{</w:t>
              <w:br/>
              <w:t xml:space="preserve">  "data": { ... },</w:t>
              <w:br/>
              <w:t xml:space="preserve">  "meta": {</w:t>
              <w:br/>
              <w:t xml:space="preserve">    "requestId": "req_8f9b2c4e1a0d88f"</w:t>
              <w:br/>
              <w:t xml:space="preserve">  }</w:t>
              <w:br/>
              <w:t>}</w:t>
            </w:r>
          </w:p>
        </w:tc>
      </w:tr>
    </w:tbl>
    <w:p>
      <w:pPr>
        <w:spacing w:after="80" w:line="276" w:lineRule="auto"/>
        <w:ind w:left="360"/>
      </w:pPr>
      <w:r>
        <w:rPr>
          <w:rFonts w:ascii="Arial" w:hAnsi="Arial"/>
          <w:b w:val="0"/>
          <w:i w:val="0"/>
          <w:color w:val="191C1E"/>
          <w:sz w:val="20"/>
          <w:rFonts w:ascii="Arial" w:hAnsi="Arial" w:cs="Arial"/>
        </w:rPr>
        <w:t xml:space="preserve">• </w:t>
      </w:r>
      <w:r>
        <w:rPr>
          <w:rFonts w:ascii="Arial" w:hAnsi="Arial"/>
          <w:b/>
          <w:i w:val="0"/>
          <w:color w:val="191C1E"/>
          <w:sz w:val="20"/>
          <w:rFonts w:ascii="Arial" w:hAnsi="Arial" w:cs="Arial"/>
        </w:rPr>
        <w:t>Phản hồi Lỗi (4xx / 5xx)</w:t>
      </w:r>
      <w:r>
        <w:rPr>
          <w:rFonts w:ascii="Arial" w:hAnsi="Arial"/>
          <w:b w:val="0"/>
          <w:i w:val="0"/>
          <w:color w:val="191C1E"/>
          <w:sz w:val="20"/>
          <w:rFonts w:ascii="Arial" w:hAnsi="Arial" w:cs="Arial"/>
        </w:rPr>
        <w:t>:</w:t>
      </w:r>
    </w:p>
    <w:p>
      <w:pPr>
        <w:spacing w:before="120" w:after="120" w:line="264" w:lineRule="auto"/>
      </w:pPr>
    </w:p>
    <w:tbl>
      <w:tblPr>
        <w:tblW w:type="auto" w:w="0"/>
        <w:jc w:val="center"/>
        <w:tblLook w:firstColumn="1" w:firstRow="1" w:lastColumn="0" w:lastRow="0" w:noHBand="0" w:noVBand="1" w:val="04A0"/>
      </w:tblPr>
      <w:tblGrid>
        <w:gridCol w:w="9936"/>
      </w:tblGrid>
      <w:tr>
        <w:tc>
          <w:tcPr>
            <w:tcW w:type="dxa" w:w="9792"/>
            <w:shd w:fill="F7F9FB"/>
            <w:tcMar>
              <w:top w:w="140" w:type="dxa"/>
              <w:bottom w:w="140" w:type="dxa"/>
              <w:left w:w="180" w:type="dxa"/>
              <w:right w:w="180" w:type="dxa"/>
            </w:tcMar>
          </w:tcPr>
          <w:p>
            <w:pPr>
              <w:spacing w:after="0" w:line="276" w:lineRule="auto"/>
            </w:pPr>
            <w:r>
              <w:rPr>
                <w:rFonts w:ascii="Consolas" w:hAnsi="Consolas"/>
                <w:b w:val="0"/>
                <w:i w:val="0"/>
                <w:color w:val="00327D"/>
                <w:sz w:val="18"/>
                <w:rFonts w:ascii="Consolas" w:hAnsi="Consolas" w:cs="Consolas"/>
              </w:rPr>
              <w:t>{</w:t>
              <w:br/>
              <w:t xml:space="preserve">  "error": {</w:t>
              <w:br/>
              <w:t xml:space="preserve">    "code": "VALIDATION_ERROR",</w:t>
              <w:br/>
              <w:t xml:space="preserve">    "message": "Dữ liệu kiểm nghiệm không hợp lệ",</w:t>
              <w:br/>
              <w:t xml:space="preserve">    "details": [ ... ],</w:t>
              <w:br/>
              <w:t xml:space="preserve">    "requestId": "req_8f9b2c4e1a0d88f"</w:t>
              <w:br/>
              <w:t xml:space="preserve">  }</w:t>
              <w:br/>
              <w:t>}</w:t>
            </w:r>
          </w:p>
        </w:tc>
      </w:tr>
    </w:tbl>
    <w:p>
      <w:pPr>
        <w:keepNext/>
        <w:spacing w:before="280" w:after="120"/>
      </w:pPr>
      <w:r>
        <w:rPr>
          <w:rFonts w:ascii="Arial" w:hAnsi="Arial"/>
          <w:b/>
          <w:i w:val="0"/>
          <w:color w:val="00236F"/>
          <w:sz w:val="26"/>
          <w:rFonts w:ascii="Arial" w:hAnsi="Arial" w:cs="Arial"/>
        </w:rPr>
        <w:t>5.3. Tiêu chuẩn Hoàn thành (Definition of Done - DoD)</w:t>
      </w:r>
    </w:p>
    <w:p>
      <w:pPr>
        <w:spacing w:after="80" w:line="276" w:lineRule="auto"/>
      </w:pPr>
      <w:r>
        <w:rPr>
          <w:rFonts w:ascii="Arial" w:hAnsi="Arial"/>
          <w:b w:val="0"/>
          <w:i w:val="0"/>
          <w:color w:val="191C1E"/>
          <w:sz w:val="20"/>
          <w:rFonts w:ascii="Arial" w:hAnsi="Arial" w:cs="Arial"/>
        </w:rPr>
        <w:t>Một tính năng chỉ được nghiệm thu khi đáp ứng đủ 10 tiêu chí:</w:t>
      </w:r>
    </w:p>
    <w:p>
      <w:pPr>
        <w:spacing w:after="80" w:line="276" w:lineRule="auto"/>
        <w:ind w:left="360"/>
      </w:pPr>
      <w:r>
        <w:rPr>
          <w:rFonts w:ascii="Arial" w:hAnsi="Arial"/>
          <w:b w:val="0"/>
          <w:i w:val="0"/>
          <w:color w:val="191C1E"/>
          <w:sz w:val="20"/>
          <w:rFonts w:ascii="Arial" w:hAnsi="Arial" w:cs="Arial"/>
        </w:rPr>
        <w:t>1. Giao diện Frontend hoàn chỉnh, 0% dữ liệu mock trong đường dẫn sản xuất.</w:t>
      </w:r>
    </w:p>
    <w:p>
      <w:pPr>
        <w:spacing w:after="80" w:line="276" w:lineRule="auto"/>
        <w:ind w:left="360"/>
      </w:pPr>
      <w:r>
        <w:rPr>
          <w:rFonts w:ascii="Arial" w:hAnsi="Arial"/>
          <w:b w:val="0"/>
          <w:i w:val="0"/>
          <w:color w:val="191C1E"/>
          <w:sz w:val="20"/>
          <w:rFonts w:ascii="Arial" w:hAnsi="Arial" w:cs="Arial"/>
        </w:rPr>
        <w:t>2. API backend thực tế kết nối CSDL PostgreSQL.</w:t>
      </w:r>
    </w:p>
    <w:p>
      <w:pPr>
        <w:spacing w:after="80" w:line="276" w:lineRule="auto"/>
        <w:ind w:left="360"/>
      </w:pPr>
      <w:r>
        <w:rPr>
          <w:rFonts w:ascii="Arial" w:hAnsi="Arial"/>
          <w:b w:val="0"/>
          <w:i w:val="0"/>
          <w:color w:val="191C1E"/>
          <w:sz w:val="20"/>
          <w:rFonts w:ascii="Arial" w:hAnsi="Arial" w:cs="Arial"/>
        </w:rPr>
        <w:t>3. Xác thực Zod Schema ở cả Frontend Form và Backend Controller.</w:t>
      </w:r>
    </w:p>
    <w:p>
      <w:pPr>
        <w:spacing w:after="80" w:line="276" w:lineRule="auto"/>
        <w:ind w:left="360"/>
      </w:pPr>
      <w:r>
        <w:rPr>
          <w:rFonts w:ascii="Arial" w:hAnsi="Arial"/>
          <w:b w:val="0"/>
          <w:i w:val="0"/>
          <w:color w:val="191C1E"/>
          <w:sz w:val="20"/>
          <w:rFonts w:ascii="Arial" w:hAnsi="Arial" w:cs="Arial"/>
        </w:rPr>
        <w:t>4. Kiểm tra phân quyền RBAC server-side cho mọi thao tác biến đổi dữ liệu.</w:t>
      </w:r>
    </w:p>
    <w:p>
      <w:pPr>
        <w:spacing w:after="80" w:line="276" w:lineRule="auto"/>
        <w:ind w:left="360"/>
      </w:pPr>
      <w:r>
        <w:rPr>
          <w:rFonts w:ascii="Arial" w:hAnsi="Arial"/>
          <w:b w:val="0"/>
          <w:i w:val="0"/>
          <w:color w:val="191C1E"/>
          <w:sz w:val="20"/>
          <w:rFonts w:ascii="Arial" w:hAnsi="Arial" w:cs="Arial"/>
        </w:rPr>
        <w:t>5. Hiển thị đầy đủ Loading state, Empty state và Error state.</w:t>
      </w:r>
    </w:p>
    <w:p>
      <w:pPr>
        <w:spacing w:after="80" w:line="276" w:lineRule="auto"/>
        <w:ind w:left="360"/>
      </w:pPr>
      <w:r>
        <w:rPr>
          <w:rFonts w:ascii="Arial" w:hAnsi="Arial"/>
          <w:b w:val="0"/>
          <w:i w:val="0"/>
          <w:color w:val="191C1E"/>
          <w:sz w:val="20"/>
          <w:rFonts w:ascii="Arial" w:hAnsi="Arial" w:cs="Arial"/>
        </w:rPr>
        <w:t>6. Ghi vết Audit Log cho mọi hành động quan trọng.</w:t>
      </w:r>
    </w:p>
    <w:p>
      <w:pPr>
        <w:spacing w:after="80" w:line="276" w:lineRule="auto"/>
        <w:ind w:left="360"/>
      </w:pPr>
      <w:r>
        <w:rPr>
          <w:rFonts w:ascii="Arial" w:hAnsi="Arial"/>
          <w:b w:val="0"/>
          <w:i w:val="0"/>
          <w:color w:val="191C1E"/>
          <w:sz w:val="20"/>
          <w:rFonts w:ascii="Arial" w:hAnsi="Arial" w:cs="Arial"/>
        </w:rPr>
        <w:t>7. Không làm lộ bí mật (Secrets) trong mã nguồn hoặc gói bundle client.</w:t>
      </w:r>
    </w:p>
    <w:p>
      <w:pPr>
        <w:spacing w:after="80" w:line="276" w:lineRule="auto"/>
        <w:ind w:left="360"/>
      </w:pPr>
      <w:r>
        <w:rPr>
          <w:rFonts w:ascii="Arial" w:hAnsi="Arial"/>
          <w:b w:val="0"/>
          <w:i w:val="0"/>
          <w:color w:val="191C1E"/>
          <w:sz w:val="20"/>
          <w:rFonts w:ascii="Arial" w:hAnsi="Arial" w:cs="Arial"/>
        </w:rPr>
        <w:t>8. Biên dịch thành công 100% không lỗi TypeScript (</w:t>
      </w:r>
      <w:r>
        <w:rPr>
          <w:rFonts w:ascii="Consolas" w:hAnsi="Consolas"/>
          <w:b w:val="0"/>
          <w:i w:val="0"/>
          <w:color w:val="00327D"/>
          <w:sz w:val="19"/>
          <w:rFonts w:ascii="Consolas" w:hAnsi="Consolas" w:cs="Consolas"/>
        </w:rPr>
        <w:t>tsc --noEmit</w:t>
      </w:r>
      <w:r>
        <w:rPr>
          <w:rFonts w:ascii="Arial" w:hAnsi="Arial"/>
          <w:b w:val="0"/>
          <w:i w:val="0"/>
          <w:color w:val="191C1E"/>
          <w:sz w:val="20"/>
          <w:rFonts w:ascii="Arial" w:hAnsi="Arial" w:cs="Arial"/>
        </w:rPr>
        <w:t>).</w:t>
      </w:r>
    </w:p>
    <w:p>
      <w:pPr>
        <w:spacing w:after="80" w:line="276" w:lineRule="auto"/>
        <w:ind w:left="360"/>
      </w:pPr>
      <w:r>
        <w:rPr>
          <w:rFonts w:ascii="Arial" w:hAnsi="Arial"/>
          <w:b w:val="0"/>
          <w:i w:val="0"/>
          <w:color w:val="191C1E"/>
          <w:sz w:val="20"/>
          <w:rFonts w:ascii="Arial" w:hAnsi="Arial" w:cs="Arial"/>
        </w:rPr>
        <w:t>9. Biên dịch thành công 100% Next.js production build (</w:t>
      </w:r>
      <w:r>
        <w:rPr>
          <w:rFonts w:ascii="Consolas" w:hAnsi="Consolas"/>
          <w:b w:val="0"/>
          <w:i w:val="0"/>
          <w:color w:val="00327D"/>
          <w:sz w:val="19"/>
          <w:rFonts w:ascii="Consolas" w:hAnsi="Consolas" w:cs="Consolas"/>
        </w:rPr>
        <w:t>next build</w:t>
      </w:r>
      <w:r>
        <w:rPr>
          <w:rFonts w:ascii="Arial" w:hAnsi="Arial"/>
          <w:b w:val="0"/>
          <w:i w:val="0"/>
          <w:color w:val="191C1E"/>
          <w:sz w:val="20"/>
          <w:rFonts w:ascii="Arial" w:hAnsi="Arial" w:cs="Arial"/>
        </w:rPr>
        <w:t>).</w:t>
      </w:r>
    </w:p>
    <w:p>
      <w:pPr>
        <w:spacing w:after="80" w:line="276" w:lineRule="auto"/>
        <w:ind w:left="360"/>
      </w:pPr>
      <w:r>
        <w:rPr>
          <w:rFonts w:ascii="Arial" w:hAnsi="Arial"/>
          <w:b w:val="0"/>
          <w:i w:val="0"/>
          <w:color w:val="191C1E"/>
          <w:sz w:val="20"/>
          <w:rFonts w:ascii="Arial" w:hAnsi="Arial" w:cs="Arial"/>
        </w:rPr>
        <w:t>10. Đảm bảo tính cô lập dữ liệu tuyệt đối giữa các Doanh nghiệp (Multi-tenant RLS).</w:t>
      </w:r>
    </w:p>
    <w:p>
      <w:pPr>
        <w:spacing w:after="80" w:line="276" w:lineRule="auto"/>
      </w:pPr>
      <w:r>
        <w:rPr>
          <w:rFonts w:ascii="Arial" w:hAnsi="Arial"/>
          <w:b w:val="0"/>
          <w:i w:val="0"/>
          <w:color w:val="191C1E"/>
          <w:sz w:val="20"/>
          <w:rFonts w:ascii="Arial" w:hAnsi="Arial" w:cs="Arial"/>
        </w:rPr>
        <w:t>---</w:t>
      </w:r>
    </w:p>
    <w:p>
      <w:pPr>
        <w:spacing w:after="80" w:line="276" w:lineRule="auto"/>
      </w:pPr>
      <w:r>
        <w:rPr>
          <w:rFonts w:ascii="Arial" w:hAnsi="Arial"/>
          <w:b w:val="0"/>
          <w:i/>
          <w:color w:val="191C1E"/>
          <w:sz w:val="20"/>
          <w:rFonts w:ascii="Arial" w:hAnsi="Arial" w:cs="Arial"/>
        </w:rPr>
        <w:t>Tài liệu này là quy chuẩn kỹ thuật chính thức áp dụng cho việc vận hành và phát triển hệ thống Themis LexiGuard.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91C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