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e9b2adc2108216d30ce5a62f3d1d613eb47d69"/>
    <w:p>
      <w:pPr>
        <w:pStyle w:val="Heading1"/>
      </w:pPr>
      <w:r>
        <w:t xml:space="preserve">Nghị định số 16/2009/NĐ-CP Sửa đổi, bổ sung khoản 2 điều 8 Nghị định số 13/2008/NĐ-CP ngày 04 tháng 02 năm 2008 của Chính phủ quy định tổ chức các cơ quan chuyên môn thuộc Úy ban nhân dân tỉnh, thành phố trực thuộc Trung ương</w:t>
      </w:r>
    </w:p>
    <w:p>
      <w:pPr>
        <w:pStyle w:val="FirstParagraph"/>
        <w:jc w:val="center"/>
      </w:pPr>
      <w:r>
        <w:t xml:space="preserve">CHÍNH PHỦ</w:t>
      </w:r>
    </w:p>
    <w:p>
      <w:pPr>
        <w:pStyle w:val="BodyText"/>
      </w:pPr>
    </w:p>
    <w:p>
      <w:pPr>
        <w:pStyle w:val="BodyText"/>
      </w:pPr>
    </w:p>
    <w:p>
      <w:pPr>
        <w:pStyle w:val="BodyText"/>
        <w:jc w:val="center"/>
      </w:pPr>
      <w:r>
        <w:t xml:space="preserve">CỘNG HÒA XÃ HỘI CHỦ NGHĨA VIỆT NAM</w:t>
      </w:r>
    </w:p>
    <w:p>
      <w:pPr>
        <w:pStyle w:val="BodyText"/>
        <w:jc w:val="center"/>
      </w:pPr>
      <w:r>
        <w:t xml:space="preserve">Độc lập – Tự do – Hạnh phúc</w:t>
      </w:r>
    </w:p>
    <w:p>
      <w:pPr>
        <w:pStyle w:val="BodyText"/>
      </w:pPr>
    </w:p>
    <w:p>
      <w:pPr>
        <w:pStyle w:val="BodyText"/>
      </w:pPr>
    </w:p>
    <w:p>
      <w:pPr>
        <w:pStyle w:val="BodyText"/>
      </w:pPr>
    </w:p>
    <w:p>
      <w:pPr>
        <w:pStyle w:val="BodyText"/>
        <w:jc w:val="center"/>
      </w:pPr>
      <w:r>
        <w:t xml:space="preserve">Số: 16/2009/NĐ-CP</w:t>
      </w:r>
    </w:p>
    <w:p>
      <w:pPr>
        <w:pStyle w:val="BodyText"/>
      </w:pPr>
    </w:p>
    <w:p>
      <w:pPr>
        <w:pStyle w:val="BodyText"/>
        <w:jc w:val="center"/>
      </w:pPr>
      <w:r>
        <w:t xml:space="preserve">Ngày 16 tháng 2 năm 2009</w:t>
      </w:r>
    </w:p>
    <w:p>
      <w:pPr>
        <w:pStyle w:val="BodyText"/>
        <w:jc w:val="center"/>
      </w:pPr>
      <w:r>
        <w:rPr>
          <w:b/>
          <w:bCs/>
        </w:rPr>
        <w:t xml:space="preserve">NGHỊ ĐỊNH</w:t>
      </w:r>
    </w:p>
    <w:p>
      <w:pPr>
        <w:pStyle w:val="BodyText"/>
      </w:pPr>
      <w:r>
        <w:rPr>
          <w:b/>
          <w:bCs/>
        </w:rPr>
        <w:t xml:space="preserve">Sửa đổi, bổ sung khoản 2 điều 8 Nghị định số</w:t>
      </w:r>
      <w:r>
        <w:rPr>
          <w:b/>
          <w:bCs/>
        </w:rPr>
        <w:t xml:space="preserve"> </w:t>
      </w:r>
      <w:r>
        <w:rPr>
          <w:b/>
          <w:bCs/>
        </w:rPr>
        <w:t xml:space="preserve">13/2008/NĐ-CP</w:t>
      </w:r>
      <w:r>
        <w:rPr>
          <w:b/>
          <w:bCs/>
        </w:rPr>
        <w:t xml:space="preserve"> </w:t>
      </w:r>
      <w:r>
        <w:rPr>
          <w:b/>
          <w:bCs/>
        </w:rPr>
        <w:t xml:space="preserve">ngày 04 tháng 02 năm 2008 của Chính phủ quy định tổ chức các cơ quan chuyên môn thuộc Úy ban nhân dân tỉnh, thành phố trực thuộc Trung ương</w:t>
      </w:r>
    </w:p>
    <w:p>
      <w:pPr>
        <w:pStyle w:val="BodyText"/>
        <w:jc w:val="center"/>
      </w:pPr>
      <w:r>
        <w:rPr>
          <w:b/>
          <w:bCs/>
        </w:rPr>
        <w:t xml:space="preserve">_____________________</w:t>
      </w:r>
    </w:p>
    <w:p>
      <w:pPr>
        <w:pStyle w:val="BodyText"/>
        <w:jc w:val="center"/>
      </w:pPr>
      <w:r>
        <w:rPr>
          <w:b/>
          <w:bCs/>
        </w:rPr>
        <w:t xml:space="preserve">CHÍNH PHỦ</w:t>
      </w:r>
    </w:p>
    <w:p>
      <w:pPr>
        <w:pStyle w:val="BodyText"/>
      </w:pPr>
      <w:r>
        <w:t xml:space="preserve">Căn cứ Luật Tổ chức Chính phủ ngày 25 tháng 12 năm 2001;</w:t>
      </w:r>
    </w:p>
    <w:p>
      <w:pPr>
        <w:pStyle w:val="BodyText"/>
      </w:pPr>
      <w:r>
        <w:t xml:space="preserve">Căn cứ Luật Tổ chức Hội đồng nhân dân và Ủy ban nhân dân ngày 26 tháng 11 năm 2003;</w:t>
      </w:r>
    </w:p>
    <w:p>
      <w:pPr>
        <w:pStyle w:val="BodyText"/>
      </w:pPr>
      <w:r>
        <w:t xml:space="preserve">Xét đề nghị của Bộ trưởng Bộ Nội vụ,</w:t>
      </w:r>
    </w:p>
    <w:p>
      <w:pPr>
        <w:pStyle w:val="BodyText"/>
        <w:jc w:val="center"/>
      </w:pPr>
      <w:r>
        <w:rPr>
          <w:b/>
          <w:bCs/>
        </w:rPr>
        <w:t xml:space="preserve">NGHỊ ĐỊNH:</w:t>
      </w:r>
    </w:p>
    <w:p>
      <w:pPr>
        <w:pStyle w:val="BodyText"/>
      </w:pPr>
      <w:r>
        <w:rPr>
          <w:b/>
          <w:bCs/>
        </w:rPr>
        <w:t xml:space="preserve">Điều 1.</w:t>
      </w:r>
      <w:r>
        <w:t xml:space="preserve"> </w:t>
      </w:r>
      <w:r>
        <w:t xml:space="preserve">Sửa đổi, bổ sung khoản 2 Điều 8 Nghị định số</w:t>
      </w:r>
      <w:r>
        <w:t xml:space="preserve"> </w:t>
      </w:r>
      <w:r>
        <w:t xml:space="preserve">13/2008/NĐ-CP</w:t>
      </w:r>
      <w:r>
        <w:t xml:space="preserve"> </w:t>
      </w:r>
      <w:r>
        <w:t xml:space="preserve">ngày 04 tháng 02 năm 2008 của Chính phủ quy định tổ chức các cơ quan chuyên môn thuộc Ủy ban nhân dân tỉnh, thành phố trực thuộc Trung ương như sau:</w:t>
      </w:r>
    </w:p>
    <w:p>
      <w:pPr>
        <w:pStyle w:val="BodyText"/>
      </w:pPr>
      <w:r>
        <w:t xml:space="preserve">"2. Sở Tư pháp:</w:t>
      </w:r>
      <w:r>
        <w:t xml:space="preserve"> </w:t>
      </w:r>
    </w:p>
    <w:p>
      <w:pPr>
        <w:pStyle w:val="BodyText"/>
      </w:pPr>
      <w:r>
        <w:t xml:space="preserve">Tham mưu, giúp Ủy ban nhân dân cấp tỉnh thực hiện chức năng quản lý nhà nước về: công tác xây dựng và thi hành văn bản quy phạm pháp luật; kiểm tra, xử lý văn bản quy phạm pháp luật; phổ biến, giáo dục pháp luật; thi hành án dân sự; công chứng; chứng thực; nuôi con nuôi có yếu tố nước ngoài; trọng tài thương mại; hộ tịch; quốc tịch; lý lịch tư pháp; luật sư; tư vấn pháp luật; trợ giúp pháp lý; giám định tư pháp; hòa giải ở cơ sở; bán đấu giá tài sản và công tác tư pháp khác theo quy định của pháp luật".</w:t>
      </w:r>
    </w:p>
    <w:p>
      <w:pPr>
        <w:pStyle w:val="BodyText"/>
      </w:pPr>
      <w:r>
        <w:rPr>
          <w:b/>
          <w:bCs/>
        </w:rPr>
        <w:t xml:space="preserve">Điều 2. Hiệu lực thi hành</w:t>
      </w:r>
    </w:p>
    <w:p>
      <w:pPr>
        <w:pStyle w:val="BodyText"/>
      </w:pPr>
      <w:r>
        <w:t xml:space="preserve">1. Nghị định này có hiệu lực thi hành kể từ ngày 02 tháng 4 năm 2009.</w:t>
      </w:r>
    </w:p>
    <w:p>
      <w:pPr>
        <w:pStyle w:val="BodyText"/>
      </w:pPr>
      <w:r>
        <w:t xml:space="preserve">2. Bãi bỏ các quy định trước đây trái với Nghị định này.</w:t>
      </w:r>
    </w:p>
    <w:p>
      <w:pPr>
        <w:pStyle w:val="BodyText"/>
      </w:pPr>
      <w:r>
        <w:rPr>
          <w:b/>
          <w:bCs/>
        </w:rPr>
        <w:t xml:space="preserve">Điều 3. Trách nhiệm thi hành</w:t>
      </w:r>
    </w:p>
    <w:p>
      <w:pPr>
        <w:pStyle w:val="BodyText"/>
      </w:pPr>
      <w:r>
        <w:t xml:space="preserve">Các Bộ trưởng, Thủ trưởng cơ quan ngang Bộ, Thủ trưởng cơ quan thuộc Chính phủ, Chủ tịch Hội đồng nhân dân và Chủ tịch Ủy ban nhân dân tỉnh, thành phố trực thuộc Trung ương chịu trách nhiệm thi hành Nghị định này./.</w:t>
      </w:r>
    </w:p>
    <w:p>
      <w:pPr>
        <w:pStyle w:val="BodyText"/>
      </w:pPr>
    </w:p>
    <w:p>
      <w:pPr>
        <w:pStyle w:val="BodyText"/>
      </w:pPr>
    </w:p>
    <w:p>
      <w:pPr>
        <w:pStyle w:val="BodyText"/>
      </w:pPr>
      <w:r>
        <w:t xml:space="preserve">TM. CHÍNH PHỦ</w:t>
      </w:r>
      <w:r>
        <w:t xml:space="preserve"> </w:t>
      </w:r>
      <w:r>
        <w:br/>
      </w:r>
      <w:r>
        <w:t xml:space="preserve">THỦ TƯỚNG CHÍNH PHỦ</w:t>
      </w:r>
    </w:p>
    <w:p>
      <w:pPr>
        <w:pStyle w:val="BodyText"/>
        <w:jc w:val="center"/>
      </w:pPr>
      <w:r>
        <w:t xml:space="preserve">(Đã ký)</w:t>
      </w:r>
    </w:p>
    <w:p>
      <w:pPr>
        <w:pStyle w:val="BodyText"/>
        <w:jc w:val="center"/>
      </w:pPr>
      <w:r>
        <w:t xml:space="preserve">Nguyễn Tấn Dũng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2026-09-23T08:11:28Z</dcterms:created>
  <dcterms:modified xsi:type="dcterms:W3CDTF">2026-09-23T08:11:28Z</dcterms:modified>
</cp:coreProperties>
</file>

<file path=docProps/custom.xml><?xml version="1.0" encoding="utf-8"?>
<Properties xmlns="http://schemas.openxmlformats.org/officeDocument/2006/custom-properties" xmlns:vt="http://schemas.openxmlformats.org/officeDocument/2006/docPropsVTypes"/>
</file>