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198/2026/NĐ-CP Sửa đổi, bổ sung một số điều của Nghị định số 26/2025/NĐ-CP ngày 24 tháng 02 năm 2025 của Chính phủ quy định chức năng, nhiệm vụ, quyền hạn và cơ cấu tổ chức của Ngân hàng Nhà nước Việt Nam</w:t>
      </w:r>
    </w:p>
    <w:p>
      <w:r/>
    </w:p>
    <w:p>
      <w:r/>
      <w:r/>
    </w:p>
    <w:tbl>
      <w:tblPr>
        <w:tblW w:type="auto" w:w="0"/>
        <w:tblLook w:firstColumn="1" w:firstRow="1" w:lastColumn="0" w:lastRow="0" w:noHBand="0" w:noVBand="1" w:val="04A0"/>
      </w:tblPr>
      <w:tblGrid>
        <w:gridCol w:w="4320"/>
        <w:gridCol w:w="4320"/>
      </w:tblGrid>
      <w:tr>
        <w:tc>
          <w:tcPr>
            <w:tcW w:type="dxa" w:w="4320"/>
          </w:tcPr>
          <w:p>
            <w:r/>
          </w:p>
          <w:p>
            <w:pPr>
              <w:jc w:val="center"/>
            </w:pPr>
            <w:r/>
            <w:r>
              <w:t>CHÍNH PHỦ</w:t>
              <w:br/>
            </w:r>
            <w:r>
              <w:t>-------</w:t>
            </w:r>
          </w:p>
        </w:tc>
        <w:tc>
          <w:tcPr>
            <w:tcW w:type="dxa" w:w="4320"/>
          </w:tcPr>
          <w:p>
            <w:r/>
          </w:p>
          <w:p>
            <w:pPr>
              <w:jc w:val="center"/>
            </w:pPr>
            <w:r/>
            <w:r>
              <w:t>CỘNG HÒA XÃ HỘI CHỦ NGHĨA VIỆT NAM</w:t>
              <w:br/>
            </w:r>
            <w:r>
              <w:t xml:space="preserve">Độc lập - Tự do - Hạnh phúc </w:t>
              <w:br/>
            </w:r>
            <w:r>
              <w:t>---------------</w:t>
            </w:r>
          </w:p>
        </w:tc>
      </w:tr>
      <w:tr>
        <w:tc>
          <w:tcPr>
            <w:tcW w:type="dxa" w:w="4320"/>
          </w:tcPr>
          <w:p>
            <w:r/>
          </w:p>
          <w:p>
            <w:pPr>
              <w:jc w:val="center"/>
            </w:pPr>
            <w:r/>
            <w:r>
              <w:t>Số: 198/2026/NĐ-CP</w:t>
            </w:r>
          </w:p>
        </w:tc>
        <w:tc>
          <w:tcPr>
            <w:tcW w:type="dxa" w:w="4320"/>
          </w:tcPr>
          <w:p>
            <w:r/>
          </w:p>
          <w:p>
            <w:r/>
            <w:r>
              <w:t>Hà Nội, ngày tháng năm 2026</w:t>
            </w:r>
          </w:p>
        </w:tc>
      </w:tr>
    </w:tbl>
    <w:p>
      <w:r/>
    </w:p>
    <w:p>
      <w:r/>
      <w:r>
        <w:t xml:space="preserve"> </w:t>
      </w:r>
      <w:r/>
    </w:p>
    <w:p>
      <w:pPr>
        <w:jc w:val="center"/>
      </w:pPr>
      <w:r/>
      <w:r>
        <w:t>NGHỊ ĐỊNH</w:t>
      </w:r>
      <w:r/>
    </w:p>
    <w:p>
      <w:pPr>
        <w:jc w:val="center"/>
      </w:pPr>
      <w:r/>
      <w:r>
        <w:rPr>
          <w:color w:val="212121"/>
        </w:rPr>
        <w:t>Sửa đổi, bổ sung một số điều của Nghị định số 26/2025/NĐ-CP ngày 24 tháng 02 năm 2025 của Chính phủ quy định chức năng, nhiệm vụ, quyền hạn và cơ cấu tổ chức của Ngân hàng Nhà nước Việt Nam</w:t>
      </w:r>
      <w:r/>
    </w:p>
    <w:p>
      <w:r/>
      <w:r/>
    </w:p>
    <w:p>
      <w:pPr>
        <w:jc w:val="both"/>
      </w:pPr>
      <w:r/>
      <w:r>
        <w:rPr>
          <w:color w:val="212121"/>
        </w:rPr>
        <w:t>Căn cứ Luật Tổ chức Chính phủ số 63/2025/QH15;</w:t>
      </w:r>
      <w:r/>
    </w:p>
    <w:p>
      <w:pPr>
        <w:jc w:val="both"/>
      </w:pPr>
      <w:r/>
      <w:r>
        <w:rPr>
          <w:color w:val="212121"/>
        </w:rPr>
        <w:t>Căn cứ Luật Ngân hàng Nhà nước Việt Nam số 46/2010/QH12;</w:t>
      </w:r>
      <w:r/>
    </w:p>
    <w:p>
      <w:pPr>
        <w:jc w:val="both"/>
      </w:pPr>
      <w:r/>
      <w:r>
        <w:rPr>
          <w:color w:val="212121"/>
        </w:rPr>
        <w:t>Theo đề nghị của Thống đốc Ngân hàng Nhà nước Việt Nam;</w:t>
      </w:r>
      <w:r/>
    </w:p>
    <w:p>
      <w:pPr>
        <w:jc w:val="both"/>
      </w:pPr>
      <w:r/>
      <w:r>
        <w:rPr>
          <w:color w:val="212121"/>
        </w:rPr>
        <w:t>Chính phủ ban hành Nghị định sửa đổi, bổ sung một số điều của Nghị định số 26/2025/NĐ-CP ngày 24 tháng 02 năm 2025 của Chính phủ quy định chức năng, nhiệm vụ, quyền hạn và cơ cấu tổ chức của Ngân hàng Nhà nước Việt Nam.</w:t>
      </w:r>
      <w:r/>
    </w:p>
    <w:p>
      <w:pPr>
        <w:jc w:val="both"/>
      </w:pPr>
      <w:r/>
      <w:r>
        <w:rPr>
          <w:color w:val="212121"/>
        </w:rPr>
        <w:t>Điều 1. Sửa đổi, bổ sung Điều 3 Nghị định số 26/2025/NĐ-CP ngày 24 tháng 02 năm 2025 của Chính phủ quy định chức năng, nhiệm vụ, quyền hạn và cơ cấu tổ chức của Ngân hàng Nhà nước Việt Nam như sau:</w:t>
      </w:r>
      <w:r/>
    </w:p>
    <w:p>
      <w:pPr>
        <w:jc w:val="both"/>
      </w:pPr>
      <w:r/>
      <w:r>
        <w:rPr>
          <w:color w:val="212121"/>
        </w:rPr>
        <w:t>“Điều 3. Cơ cấu tổ chức</w:t>
      </w:r>
      <w:r/>
    </w:p>
    <w:p>
      <w:pPr>
        <w:jc w:val="both"/>
      </w:pPr>
      <w:r/>
      <w:r>
        <w:rPr>
          <w:color w:val="212121"/>
        </w:rPr>
        <w:t>1. Vụ Chính sách tiền tệ.</w:t>
      </w:r>
      <w:r/>
    </w:p>
    <w:p>
      <w:pPr>
        <w:jc w:val="both"/>
      </w:pPr>
      <w:r/>
      <w:r>
        <w:rPr>
          <w:color w:val="212121"/>
        </w:rPr>
        <w:t>2. Vụ Thanh toán.</w:t>
      </w:r>
      <w:r/>
    </w:p>
    <w:p>
      <w:pPr>
        <w:jc w:val="both"/>
      </w:pPr>
      <w:r/>
      <w:r>
        <w:rPr>
          <w:color w:val="212121"/>
        </w:rPr>
        <w:t>3. Vụ Tín dụng.</w:t>
      </w:r>
      <w:r/>
    </w:p>
    <w:p>
      <w:pPr>
        <w:jc w:val="both"/>
      </w:pPr>
      <w:r/>
      <w:r>
        <w:rPr>
          <w:color w:val="212121"/>
        </w:rPr>
        <w:t>4. Vụ Dự báo, thống kê.</w:t>
      </w:r>
      <w:r/>
    </w:p>
    <w:p>
      <w:pPr>
        <w:jc w:val="both"/>
      </w:pPr>
      <w:r/>
      <w:r>
        <w:rPr>
          <w:color w:val="212121"/>
        </w:rPr>
        <w:t>5. Vụ Hợp tác quốc tế.</w:t>
      </w:r>
      <w:r/>
    </w:p>
    <w:p>
      <w:pPr>
        <w:jc w:val="both"/>
      </w:pPr>
      <w:r/>
      <w:r>
        <w:rPr>
          <w:color w:val="212121"/>
        </w:rPr>
        <w:t>6. Vụ Pháp chế.</w:t>
      </w:r>
      <w:r/>
    </w:p>
    <w:p>
      <w:pPr>
        <w:jc w:val="both"/>
      </w:pPr>
      <w:r/>
      <w:r>
        <w:rPr>
          <w:color w:val="212121"/>
        </w:rPr>
        <w:t>7. Vụ Tài chính - Kế toán.</w:t>
      </w:r>
      <w:r/>
    </w:p>
    <w:p>
      <w:pPr>
        <w:jc w:val="both"/>
      </w:pPr>
      <w:r/>
      <w:r>
        <w:rPr>
          <w:color w:val="212121"/>
        </w:rPr>
        <w:t>8. Vụ Tổ chức cán bộ.</w:t>
      </w:r>
      <w:r/>
    </w:p>
    <w:p>
      <w:pPr>
        <w:jc w:val="both"/>
      </w:pPr>
      <w:r/>
      <w:r>
        <w:rPr>
          <w:color w:val="212121"/>
        </w:rPr>
        <w:t>9. Văn phòng.</w:t>
      </w:r>
      <w:r/>
    </w:p>
    <w:p>
      <w:pPr>
        <w:jc w:val="both"/>
      </w:pPr>
      <w:r/>
      <w:r>
        <w:rPr>
          <w:color w:val="212121"/>
        </w:rPr>
        <w:t>10. Thanh tra Ngân hàng Nhà nước.</w:t>
      </w:r>
      <w:r/>
    </w:p>
    <w:p>
      <w:pPr>
        <w:jc w:val="both"/>
      </w:pPr>
      <w:r/>
      <w:r>
        <w:rPr>
          <w:color w:val="212121"/>
        </w:rPr>
        <w:t>11. Sở Giao dịch.</w:t>
      </w:r>
      <w:r/>
    </w:p>
    <w:p>
      <w:pPr>
        <w:jc w:val="both"/>
      </w:pPr>
      <w:r/>
      <w:r>
        <w:rPr>
          <w:color w:val="212121"/>
        </w:rPr>
        <w:t>12. Cục Công nghệ thông tin.</w:t>
      </w:r>
      <w:r/>
    </w:p>
    <w:p>
      <w:pPr>
        <w:jc w:val="both"/>
      </w:pPr>
      <w:r/>
      <w:r>
        <w:rPr>
          <w:color w:val="212121"/>
        </w:rPr>
        <w:t>13. Cục Phát hành và kho quỹ.</w:t>
      </w:r>
      <w:r/>
    </w:p>
    <w:p>
      <w:pPr>
        <w:jc w:val="both"/>
      </w:pPr>
      <w:r/>
      <w:r>
        <w:rPr>
          <w:color w:val="212121"/>
        </w:rPr>
        <w:t>14. Cục Quản lý ngoại hối.</w:t>
      </w:r>
      <w:r/>
    </w:p>
    <w:p>
      <w:pPr>
        <w:jc w:val="both"/>
      </w:pPr>
      <w:r/>
      <w:r>
        <w:rPr>
          <w:color w:val="212121"/>
        </w:rPr>
        <w:t>15. Cục Phòng, chống rửa tiền.</w:t>
      </w:r>
      <w:r/>
    </w:p>
    <w:p>
      <w:pPr>
        <w:jc w:val="both"/>
      </w:pPr>
      <w:r/>
      <w:r>
        <w:rPr>
          <w:color w:val="212121"/>
        </w:rPr>
        <w:t>16. Cục Quản lý, giám sát tổ chức tín dụng.</w:t>
      </w:r>
      <w:r/>
    </w:p>
    <w:p>
      <w:pPr>
        <w:jc w:val="both"/>
      </w:pPr>
      <w:r/>
      <w:r>
        <w:rPr>
          <w:color w:val="212121"/>
        </w:rPr>
        <w:t>17. Cục An toàn hệ thống các tổ chức tín dụng.</w:t>
      </w:r>
      <w:r/>
    </w:p>
    <w:p>
      <w:pPr>
        <w:jc w:val="both"/>
      </w:pPr>
      <w:r/>
      <w:r>
        <w:rPr>
          <w:color w:val="212121"/>
        </w:rPr>
        <w:t>18. Ngân hàng Nhà nước chỉ nhánh tại các khu vực (Ngân hàng Nhà nước Khu vực).</w:t>
      </w:r>
      <w:r/>
    </w:p>
    <w:p>
      <w:pPr>
        <w:jc w:val="both"/>
      </w:pPr>
      <w:r/>
      <w:r>
        <w:rPr>
          <w:color w:val="212121"/>
        </w:rPr>
        <w:t>19. Trung tâm Thông tin tín dụng Quốc gia Việt Nam.</w:t>
      </w:r>
      <w:r/>
    </w:p>
    <w:p>
      <w:pPr>
        <w:jc w:val="both"/>
      </w:pPr>
      <w:r/>
      <w:r>
        <w:rPr>
          <w:color w:val="212121"/>
        </w:rPr>
        <w:t>20. Thời báo Ngân hàng.</w:t>
      </w:r>
      <w:r/>
    </w:p>
    <w:p>
      <w:pPr>
        <w:jc w:val="both"/>
      </w:pPr>
      <w:r/>
      <w:r>
        <w:rPr>
          <w:color w:val="212121"/>
        </w:rPr>
        <w:t>Các đơn vị quy định từ khoản 1 đến khoản 18 Điều này là tổ chức hành chính giúp Thống đốc Ngân hàng Nhà nước thực hiện chức năng quản lý nhà nước và chức năng Ngân hàng Trung ương; các đơn vị quy định tại khoản 19 và khoản 20 Điều này là đơn vị sự nghiệp công lập phục vụ chức năng quản lý nhà nước của Ngân hàng Nhà nước.</w:t>
      </w:r>
      <w:r/>
    </w:p>
    <w:p>
      <w:pPr>
        <w:jc w:val="both"/>
      </w:pPr>
      <w:r/>
      <w:r>
        <w:rPr>
          <w:color w:val="212121"/>
        </w:rPr>
        <w:t>Sở Giao dịch và Ngân hàng Nhà nước Khu vực là tổ chức hành chính tương đương cục thuộc Ngân hàng Nhà nước.</w:t>
      </w:r>
      <w:r/>
    </w:p>
    <w:p>
      <w:pPr>
        <w:jc w:val="both"/>
      </w:pPr>
      <w:r/>
      <w:r>
        <w:rPr>
          <w:color w:val="212121"/>
        </w:rPr>
        <w:t>Vụ Dự báo, thống kê có 06 phòng. Vụ Chính sách tiền tệ có 05 phòng. Vụ Tín dụng, Vụ Tổ chức cán bộ, Vụ Tài chính - Kế toán có 04 phòng. Vụ Thanh toán, Vụ Hợp tác quốc tế có 03 phòng. Vụ Pháp chế có 02 phòng.</w:t>
      </w:r>
      <w:r/>
    </w:p>
    <w:p>
      <w:pPr>
        <w:jc w:val="both"/>
      </w:pPr>
      <w:r/>
      <w:r>
        <w:rPr>
          <w:color w:val="212121"/>
        </w:rPr>
        <w:t>Thống đốc Ngân hàng Nhà nước trình Thủ tướng Chính phủ ban hành danh sách các đơn vị sự nghiệp công lập khác thuộc Ngân hàng Nhà nước Việt Nam.</w:t>
      </w:r>
      <w:r/>
    </w:p>
    <w:p>
      <w:pPr>
        <w:jc w:val="both"/>
      </w:pPr>
      <w:r/>
      <w:r>
        <w:rPr>
          <w:color w:val="212121"/>
        </w:rPr>
        <w:t>Thống đốc Ngân hàng Nhà nước ban hành quyết định quy định chức năng, nhiệm vụ, quyền hạn và cơ cấu tổ chức của các tổ chức, đơn vị thuộc Ngân hàng Nhà nước theo quy định của pháp luật".</w:t>
      </w:r>
      <w:r/>
    </w:p>
    <w:p>
      <w:pPr>
        <w:jc w:val="both"/>
      </w:pPr>
      <w:r/>
      <w:r>
        <w:rPr>
          <w:color w:val="212121"/>
        </w:rPr>
        <w:t>Điều 2. Hiệu lực thi hành:</w:t>
      </w:r>
      <w:r/>
    </w:p>
    <w:p>
      <w:pPr>
        <w:jc w:val="both"/>
      </w:pPr>
      <w:r/>
      <w:r>
        <w:rPr>
          <w:color w:val="212121"/>
        </w:rPr>
        <w:t>Nghị định này có hiệu lực thi hành từ ngày 01 tháng 7 năm 2026.</w:t>
      </w:r>
      <w:r/>
    </w:p>
    <w:p>
      <w:pPr>
        <w:jc w:val="both"/>
      </w:pPr>
      <w:r/>
      <w:r>
        <w:rPr>
          <w:color w:val="212121"/>
        </w:rPr>
        <w:t>Điều 3. Trách nhiệm thi hành</w:t>
      </w:r>
      <w:r/>
    </w:p>
    <w:p>
      <w:pPr>
        <w:jc w:val="both"/>
      </w:pPr>
      <w:r/>
      <w:r>
        <w:rPr>
          <w:color w:val="212121"/>
        </w:rPr>
        <w:t>Thống đốc Ngân hàng Nhà nước, các Bộ trưởng, Thủ trưởng cơ quan ngang bộ, Chủ tịch Ủy ban nhân dân các tỉnh, thành phố trực thuộc trung ương chịu trách nhiệm thi hành Nghị định này.</w:t>
      </w:r>
      <w:r/>
    </w:p>
    <w:p>
      <w:r/>
      <w:r>
        <w:t xml:space="preserve"> </w:t>
      </w:r>
      <w:r/>
    </w:p>
    <w:tbl>
      <w:tblPr>
        <w:tblW w:type="auto" w:w="0"/>
        <w:tblLook w:firstColumn="1" w:firstRow="1" w:lastColumn="0" w:lastRow="0" w:noHBand="0" w:noVBand="1" w:val="04A0"/>
      </w:tblPr>
      <w:tblGrid>
        <w:gridCol w:w="4320"/>
        <w:gridCol w:w="4320"/>
      </w:tblGrid>
      <w:tr>
        <w:tc>
          <w:tcPr>
            <w:tcW w:type="dxa" w:w="4320"/>
          </w:tcPr>
          <w:p>
            <w:r/>
          </w:p>
          <w:p>
            <w:r/>
            <w:r>
              <w:t>Nơi nhận:</w:t>
              <w:br/>
            </w:r>
            <w:r>
              <w:rPr>
                <w:color w:val="212121"/>
              </w:rPr>
              <w:t>- Ban Bí thư Trung ương Đảng;</w:t>
            </w:r>
            <w:r/>
          </w:p>
          <w:p>
            <w:r/>
            <w:r>
              <w:rPr>
                <w:color w:val="212121"/>
              </w:rPr>
              <w:t>- Thủ tướng, các Phó Thủ tướng Chính phủ;</w:t>
            </w:r>
            <w:r/>
          </w:p>
          <w:p>
            <w:r/>
            <w:r>
              <w:rPr>
                <w:color w:val="212121"/>
              </w:rPr>
              <w:t>- Các bộ, cơ quan ngang bộ;</w:t>
            </w:r>
            <w:r/>
          </w:p>
          <w:p>
            <w:r/>
            <w:r>
              <w:rPr>
                <w:color w:val="212121"/>
              </w:rPr>
              <w:t>- HĐND, UBND các tỉnh, thành phố trực thuộc trung ương</w:t>
            </w:r>
            <w:r/>
          </w:p>
          <w:p>
            <w:r/>
            <w:r>
              <w:rPr>
                <w:color w:val="212121"/>
              </w:rPr>
              <w:t>- Văn phòng Trung ương và các Ban của Đảng;</w:t>
            </w:r>
            <w:r/>
          </w:p>
          <w:p>
            <w:r/>
            <w:r>
              <w:rPr>
                <w:color w:val="212121"/>
              </w:rPr>
              <w:t>- Văn phòng Tổng Bí thư;</w:t>
            </w:r>
            <w:r/>
          </w:p>
          <w:p>
            <w:r/>
            <w:r>
              <w:rPr>
                <w:color w:val="212121"/>
              </w:rPr>
              <w:t>- Văn phòng Chủ tịch nước;</w:t>
            </w:r>
            <w:r/>
          </w:p>
          <w:p>
            <w:r/>
            <w:r>
              <w:rPr>
                <w:color w:val="212121"/>
              </w:rPr>
              <w:t>- Hội đồng Dân tộc và các Ủy ban của Quốc hội;</w:t>
            </w:r>
            <w:r/>
          </w:p>
          <w:p>
            <w:r/>
            <w:r>
              <w:rPr>
                <w:color w:val="212121"/>
              </w:rPr>
              <w:t>- Văn phòng Quốc hội;</w:t>
            </w:r>
            <w:r/>
          </w:p>
          <w:p>
            <w:r/>
            <w:r>
              <w:rPr>
                <w:color w:val="212121"/>
              </w:rPr>
              <w:t>- Tòa án nhân dân tối cao;</w:t>
            </w:r>
            <w:r/>
          </w:p>
          <w:p>
            <w:r/>
            <w:r>
              <w:rPr>
                <w:color w:val="212121"/>
              </w:rPr>
              <w:t>- Viện kiểm sát nhân dân tối cao;</w:t>
            </w:r>
            <w:r/>
          </w:p>
          <w:p>
            <w:r/>
            <w:r>
              <w:rPr>
                <w:color w:val="212121"/>
              </w:rPr>
              <w:t>- Kiểm toán nhà nước;</w:t>
            </w:r>
            <w:r/>
          </w:p>
          <w:p>
            <w:r/>
            <w:r>
              <w:rPr>
                <w:color w:val="212121"/>
              </w:rPr>
              <w:t>- Ủy ban Trung ương Mặt trận Tổ quốc Việt Nam;</w:t>
            </w:r>
            <w:r/>
          </w:p>
          <w:p>
            <w:r/>
            <w:r>
              <w:rPr>
                <w:color w:val="212121"/>
              </w:rPr>
              <w:t>- Cơ quan trung ương của các tổ chức chính trị -xã hội;</w:t>
            </w:r>
            <w:r/>
          </w:p>
          <w:p>
            <w:r/>
            <w:r>
              <w:rPr>
                <w:color w:val="212121"/>
              </w:rPr>
              <w:t>- VPCP: BTCN, các PCN, Trợ lý TTg, TGĐ Cổng TTĐT,</w:t>
            </w:r>
            <w:r/>
          </w:p>
          <w:p>
            <w:r/>
            <w:r>
              <w:rPr>
                <w:color w:val="212121"/>
              </w:rPr>
              <w:t xml:space="preserve"> các Vụ, Cục, đơn vị trực thuộc, Công báo;</w:t>
            </w:r>
            <w:r/>
          </w:p>
          <w:p>
            <w:r/>
            <w:r>
              <w:rPr>
                <w:color w:val="212121"/>
              </w:rPr>
              <w:t>- Lưu: VT, TCCV (02b). 66</w:t>
            </w:r>
            <w:r/>
          </w:p>
          <w:p>
            <w:r/>
          </w:p>
        </w:tc>
        <w:tc>
          <w:tcPr>
            <w:tcW w:type="dxa" w:w="4320"/>
          </w:tcPr>
          <w:p>
            <w:r/>
          </w:p>
          <w:p>
            <w:r/>
            <w:r>
              <w:t xml:space="preserve"> </w:t>
            </w:r>
            <w:r>
              <w:t>TM. CHÍNH PHỦ</w:t>
              <w:br/>
            </w:r>
            <w:r>
              <w:t xml:space="preserve"> KT. THỦ TƯỚNG</w:t>
              <w:br/>
            </w:r>
            <w:r>
              <w:t xml:space="preserve"> PHÓ THỦ TƯỚNG</w:t>
              <w:br/>
              <w:br/>
              <w:br/>
            </w:r>
            <w:r/>
          </w:p>
          <w:p>
            <w:r>
              <w:br/>
              <w:br/>
            </w:r>
            <w:r>
              <w:t xml:space="preserve"> Nguyễn Văn Thắng</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